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51" w:rsidRDefault="003E3651" w:rsidP="003E3651">
      <w:pPr>
        <w:pStyle w:val="Nagwek1"/>
        <w:jc w:val="right"/>
        <w:rPr>
          <w:rFonts w:eastAsiaTheme="minorHAnsi" w:cstheme="minorBidi"/>
          <w:b w:val="0"/>
          <w:i/>
          <w:kern w:val="0"/>
          <w:sz w:val="20"/>
        </w:rPr>
      </w:pPr>
      <w:r>
        <w:rPr>
          <w:rFonts w:eastAsiaTheme="minorHAnsi" w:cstheme="minorBidi"/>
          <w:b w:val="0"/>
          <w:i/>
          <w:kern w:val="0"/>
          <w:sz w:val="20"/>
        </w:rPr>
        <w:t>Załącznik nr 1</w:t>
      </w:r>
    </w:p>
    <w:p w:rsidR="003E3651" w:rsidRDefault="003E3651" w:rsidP="003E3651">
      <w:pPr>
        <w:pStyle w:val="Nagwek1"/>
        <w:rPr>
          <w:rFonts w:eastAsia="Arial Unicode MS"/>
          <w:i/>
          <w:caps/>
          <w:sz w:val="16"/>
          <w:szCs w:val="16"/>
          <w:u w:val="single"/>
        </w:rPr>
      </w:pPr>
      <w:r>
        <w:rPr>
          <w:rFonts w:eastAsia="Arial Unicode MS"/>
          <w:i/>
          <w:caps/>
          <w:sz w:val="16"/>
          <w:szCs w:val="16"/>
          <w:u w:val="single"/>
        </w:rPr>
        <w:t>D-07.10.01./2007 - USTAWIENIE  OŚWIETLENIA  TYPU  LED</w:t>
      </w:r>
    </w:p>
    <w:p w:rsidR="003E3651" w:rsidRDefault="003E3651" w:rsidP="003E3651">
      <w:pPr>
        <w:keepNext/>
        <w:keepLines/>
        <w:widowControl w:val="0"/>
        <w:suppressAutoHyphens/>
        <w:overflowPunct w:val="0"/>
        <w:autoSpaceDE w:val="0"/>
        <w:spacing w:before="240" w:after="120"/>
        <w:jc w:val="both"/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</w:pPr>
      <w:r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  <w:t>1. WSTĘP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 xml:space="preserve">1.1. Przedmiot </w:t>
      </w:r>
      <w:proofErr w:type="spellStart"/>
      <w:r>
        <w:rPr>
          <w:rFonts w:eastAsia="Arial Unicode MS" w:cs="Times New Roman"/>
          <w:b/>
          <w:sz w:val="16"/>
          <w:szCs w:val="16"/>
          <w:lang w:eastAsia="ar-SA"/>
        </w:rPr>
        <w:t>SST</w:t>
      </w:r>
      <w:proofErr w:type="spellEnd"/>
    </w:p>
    <w:p w:rsidR="003E3651" w:rsidRDefault="003E3651" w:rsidP="003E3651">
      <w:pPr>
        <w:widowControl w:val="0"/>
        <w:tabs>
          <w:tab w:val="left" w:pos="-2070"/>
          <w:tab w:val="right" w:leader="dot" w:pos="-1985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ab/>
      </w:r>
      <w:r>
        <w:rPr>
          <w:rFonts w:eastAsia="Arial Unicode MS" w:cs="Times New Roman"/>
          <w:sz w:val="16"/>
          <w:szCs w:val="16"/>
          <w:lang w:eastAsia="ar-SA"/>
        </w:rPr>
        <w:t>Przedmiotem niniejszej szczegółowej specyfikacji technicznej (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>) są wymagania dotyczące wykonania i odbioru robót związanych z ustawieniem oświetlenia typu LED.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 xml:space="preserve">1.2. Zakres stosowania </w:t>
      </w:r>
      <w:proofErr w:type="spellStart"/>
      <w:r>
        <w:rPr>
          <w:rFonts w:eastAsia="Arial Unicode MS" w:cs="Times New Roman"/>
          <w:b/>
          <w:sz w:val="16"/>
          <w:szCs w:val="16"/>
          <w:lang w:eastAsia="ar-SA"/>
        </w:rPr>
        <w:t>SST</w:t>
      </w:r>
      <w:proofErr w:type="spellEnd"/>
    </w:p>
    <w:p w:rsidR="003E3651" w:rsidRDefault="003E3651" w:rsidP="003E3651">
      <w:pPr>
        <w:widowControl w:val="0"/>
        <w:tabs>
          <w:tab w:val="right" w:leader="dot" w:pos="-1985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ab/>
      </w:r>
      <w:r>
        <w:rPr>
          <w:rFonts w:eastAsia="Arial Unicode MS" w:cs="Times New Roman"/>
          <w:sz w:val="16"/>
          <w:szCs w:val="16"/>
          <w:lang w:eastAsia="ar-SA"/>
        </w:rPr>
        <w:t>Szczegółowe specyfikacja techniczna (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) stanowi obowiązującą podstawę przy zlecaniu i realizacji robót 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 xml:space="preserve">1.3. Zakres robót objętych </w:t>
      </w:r>
      <w:proofErr w:type="spellStart"/>
      <w:r>
        <w:rPr>
          <w:rFonts w:eastAsia="Arial Unicode MS" w:cs="Times New Roman"/>
          <w:b/>
          <w:sz w:val="16"/>
          <w:szCs w:val="16"/>
          <w:lang w:eastAsia="ar-SA"/>
        </w:rPr>
        <w:t>SST</w:t>
      </w:r>
      <w:proofErr w:type="spellEnd"/>
    </w:p>
    <w:p w:rsidR="003E3651" w:rsidRDefault="003E3651" w:rsidP="003E3651">
      <w:pPr>
        <w:widowControl w:val="0"/>
        <w:tabs>
          <w:tab w:val="right" w:leader="dot" w:pos="-1985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ab/>
      </w:r>
      <w:r>
        <w:rPr>
          <w:rFonts w:eastAsia="Arial Unicode MS" w:cs="Times New Roman"/>
          <w:sz w:val="16"/>
          <w:szCs w:val="16"/>
          <w:lang w:eastAsia="ar-SA"/>
        </w:rPr>
        <w:t xml:space="preserve">Ustalenia zawarte w niniejszej specyfikacji dotyczą zasad prowadzenia robót związanych z urządzeniami </w:t>
      </w:r>
    </w:p>
    <w:p w:rsidR="003E3651" w:rsidRDefault="003E3651" w:rsidP="003E3651">
      <w:pPr>
        <w:widowControl w:val="0"/>
        <w:tabs>
          <w:tab w:val="right" w:leader="dot" w:pos="-1985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b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tabs>
          <w:tab w:val="right" w:leader="dot" w:pos="-1985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 xml:space="preserve">                 - oświetlenie typu LED , akumulatory pod ziemią</w:t>
      </w:r>
    </w:p>
    <w:p w:rsidR="003E3651" w:rsidRDefault="003E3651" w:rsidP="003E3651">
      <w:pPr>
        <w:widowControl w:val="0"/>
        <w:tabs>
          <w:tab w:val="right" w:leader="dot" w:pos="-1985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b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tabs>
          <w:tab w:val="right" w:leader="dot" w:pos="-1985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noProof/>
          <w:sz w:val="16"/>
          <w:szCs w:val="16"/>
          <w:lang w:eastAsia="pl-PL"/>
        </w:rPr>
        <w:drawing>
          <wp:inline distT="0" distB="0" distL="0" distR="0">
            <wp:extent cx="1383665" cy="73152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 w:cs="Times New Roman"/>
          <w:b/>
          <w:sz w:val="16"/>
          <w:szCs w:val="16"/>
          <w:lang w:eastAsia="ar-SA"/>
        </w:rPr>
        <w:t xml:space="preserve">  choinka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1.4. Określenia podstawowe</w:t>
      </w:r>
    </w:p>
    <w:p w:rsidR="003E3651" w:rsidRDefault="003E3651" w:rsidP="003E3651">
      <w:pPr>
        <w:widowControl w:val="0"/>
        <w:tabs>
          <w:tab w:val="right" w:leader="dot" w:pos="-1985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 xml:space="preserve">1.4.1.  </w:t>
      </w:r>
      <w:r>
        <w:rPr>
          <w:rFonts w:eastAsia="Arial Unicode MS" w:cs="Times New Roman"/>
          <w:sz w:val="16"/>
          <w:szCs w:val="16"/>
          <w:lang w:eastAsia="ar-SA"/>
        </w:rPr>
        <w:t>Oświetlenie służą do poprawienia estetyki i wygody oraz poprawy bezpieczeństwa ruchu.</w:t>
      </w:r>
    </w:p>
    <w:p w:rsidR="003E3651" w:rsidRDefault="003E3651" w:rsidP="003E3651">
      <w:pPr>
        <w:widowControl w:val="0"/>
        <w:tabs>
          <w:tab w:val="right" w:leader="dot" w:pos="-1985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 xml:space="preserve">1.4.2.  </w:t>
      </w:r>
      <w:r>
        <w:rPr>
          <w:rFonts w:eastAsia="Arial Unicode MS" w:cs="Times New Roman"/>
          <w:sz w:val="16"/>
          <w:szCs w:val="16"/>
          <w:lang w:eastAsia="ar-SA"/>
        </w:rPr>
        <w:t>Instrukcja  - opracowanie wydane przez producenta w celu określenia</w:t>
      </w:r>
      <w:r>
        <w:rPr>
          <w:rFonts w:eastAsia="Arial Unicode MS" w:cs="Times New Roman"/>
          <w:b/>
          <w:sz w:val="16"/>
          <w:szCs w:val="16"/>
          <w:lang w:eastAsia="ar-SA"/>
        </w:rPr>
        <w:t xml:space="preserve"> </w:t>
      </w:r>
      <w:r>
        <w:rPr>
          <w:rFonts w:eastAsia="Arial Unicode MS" w:cs="Times New Roman"/>
          <w:sz w:val="16"/>
          <w:szCs w:val="16"/>
          <w:lang w:eastAsia="ar-SA"/>
        </w:rPr>
        <w:t xml:space="preserve">sposobu i użycia odpowiednich materiałów do </w:t>
      </w:r>
      <w:r>
        <w:rPr>
          <w:rFonts w:eastAsia="Arial Unicode MS" w:cs="Times New Roman"/>
          <w:b/>
          <w:sz w:val="16"/>
          <w:szCs w:val="16"/>
          <w:lang w:eastAsia="ar-SA"/>
        </w:rPr>
        <w:t xml:space="preserve"> </w:t>
      </w:r>
      <w:r>
        <w:rPr>
          <w:rFonts w:eastAsia="Arial Unicode MS" w:cs="Times New Roman"/>
          <w:sz w:val="16"/>
          <w:szCs w:val="16"/>
          <w:lang w:eastAsia="ar-SA"/>
        </w:rPr>
        <w:t>bezpiecznego zmontowania urządzenia.</w:t>
      </w:r>
    </w:p>
    <w:p w:rsidR="003E3651" w:rsidRDefault="003E3651" w:rsidP="003E3651">
      <w:pPr>
        <w:widowControl w:val="0"/>
        <w:tabs>
          <w:tab w:val="right" w:leader="dot" w:pos="-1985"/>
          <w:tab w:val="left" w:pos="540"/>
        </w:tabs>
        <w:suppressAutoHyphens/>
        <w:overflowPunct w:val="0"/>
        <w:autoSpaceDE w:val="0"/>
        <w:spacing w:before="120"/>
        <w:jc w:val="both"/>
        <w:rPr>
          <w:rFonts w:eastAsia="Arial Unicode MS" w:cs="Times New Roman"/>
          <w:sz w:val="16"/>
          <w:szCs w:val="16"/>
          <w:lang w:eastAsia="ar-SA"/>
        </w:rPr>
      </w:pPr>
      <w:proofErr w:type="spellStart"/>
      <w:r>
        <w:rPr>
          <w:rFonts w:eastAsia="Arial Unicode MS" w:cs="Times New Roman"/>
          <w:b/>
          <w:sz w:val="16"/>
          <w:szCs w:val="16"/>
          <w:lang w:eastAsia="ar-SA"/>
        </w:rPr>
        <w:t>1.4.3.</w:t>
      </w:r>
      <w:r>
        <w:rPr>
          <w:rFonts w:eastAsia="Arial Unicode MS" w:cs="Times New Roman"/>
          <w:sz w:val="16"/>
          <w:szCs w:val="16"/>
          <w:lang w:eastAsia="ar-SA"/>
        </w:rPr>
        <w:t>Fundamenty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betonowe - służą do zakotwienia urządzeń  .</w:t>
      </w:r>
    </w:p>
    <w:p w:rsidR="003E3651" w:rsidRDefault="003E3651" w:rsidP="003E3651">
      <w:pPr>
        <w:widowControl w:val="0"/>
        <w:tabs>
          <w:tab w:val="right" w:leader="dot" w:pos="-1985"/>
          <w:tab w:val="left" w:pos="540"/>
        </w:tabs>
        <w:suppressAutoHyphens/>
        <w:overflowPunct w:val="0"/>
        <w:autoSpaceDE w:val="0"/>
        <w:spacing w:before="12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 xml:space="preserve">1.4.4.  </w:t>
      </w:r>
      <w:r>
        <w:rPr>
          <w:rFonts w:eastAsia="Arial Unicode MS" w:cs="Times New Roman"/>
          <w:sz w:val="16"/>
          <w:szCs w:val="16"/>
          <w:lang w:eastAsia="ar-SA"/>
        </w:rPr>
        <w:t>Kształtowniki , rurki  - wyroby o stałym przekroju poprzecznym w kształcie złożonej figury geometrycznej, dostarczane w odcinkach prostych, stosowane w konstrukcjach stalowych lub w połączeniu z innymi materiałami budowlanymi.</w:t>
      </w:r>
    </w:p>
    <w:p w:rsidR="003E3651" w:rsidRDefault="003E3651" w:rsidP="003E3651">
      <w:pPr>
        <w:widowControl w:val="0"/>
        <w:tabs>
          <w:tab w:val="right" w:leader="dot" w:pos="-1985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proofErr w:type="spellStart"/>
      <w:r>
        <w:rPr>
          <w:rFonts w:eastAsia="Arial Unicode MS" w:cs="Times New Roman"/>
          <w:b/>
          <w:sz w:val="16"/>
          <w:szCs w:val="16"/>
          <w:lang w:eastAsia="ar-SA"/>
        </w:rPr>
        <w:t>1.4.5.</w:t>
      </w:r>
      <w:r>
        <w:rPr>
          <w:rFonts w:eastAsia="Arial Unicode MS" w:cs="Times New Roman"/>
          <w:sz w:val="16"/>
          <w:szCs w:val="16"/>
          <w:lang w:eastAsia="ar-SA"/>
        </w:rPr>
        <w:t>Pozostałe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określenia podstawowe są zgodne z obowiązującymi, odpowiednimi polskimi normami i z definicjami podanymi w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D-00.00.00 „Wymagania ogólne” pkt 1.4. 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1.5. Ogólne wymagania dotyczące robót</w:t>
      </w:r>
    </w:p>
    <w:p w:rsidR="003E3651" w:rsidRDefault="003E3651" w:rsidP="003E3651">
      <w:pPr>
        <w:widowControl w:val="0"/>
        <w:tabs>
          <w:tab w:val="right" w:leader="dot" w:pos="-1985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Ogólne wymagania dotyczące robót podano w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D-00.00.00 „Wymagania ogólne” pkt 1.5. </w:t>
      </w:r>
    </w:p>
    <w:p w:rsidR="003E3651" w:rsidRDefault="003E3651" w:rsidP="003E3651">
      <w:pPr>
        <w:keepNext/>
        <w:keepLines/>
        <w:widowControl w:val="0"/>
        <w:suppressAutoHyphens/>
        <w:overflowPunct w:val="0"/>
        <w:autoSpaceDE w:val="0"/>
        <w:spacing w:before="240" w:after="120"/>
        <w:jc w:val="both"/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</w:pPr>
      <w:r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  <w:t>2. MATERIAŁY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2.1. Ogólne wymagania dotyczące materiałów</w:t>
      </w:r>
    </w:p>
    <w:p w:rsidR="003E3651" w:rsidRDefault="003E3651" w:rsidP="003E3651">
      <w:pPr>
        <w:widowControl w:val="0"/>
        <w:tabs>
          <w:tab w:val="right" w:leader="dot" w:pos="-1985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Ogólne wymagania dotyczące materiałów, ich pozyskiwania i składowania, podano w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D-00.00.00 „Wymagania ogólne” pkt 2.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2.2. Rodzaje materiałów</w:t>
      </w:r>
    </w:p>
    <w:p w:rsidR="003E3651" w:rsidRDefault="003E3651" w:rsidP="003E3651">
      <w:pPr>
        <w:widowControl w:val="0"/>
        <w:tabs>
          <w:tab w:val="right" w:leader="dot" w:pos="-1985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Materiałami stosowanymi przy wykonywaniu urządzeń objętych niniejszą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>, są:</w:t>
      </w:r>
    </w:p>
    <w:p w:rsidR="003E3651" w:rsidRDefault="003E3651" w:rsidP="003E3651">
      <w:pPr>
        <w:widowControl w:val="0"/>
        <w:tabs>
          <w:tab w:val="right" w:leader="dot" w:pos="-1985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 xml:space="preserve">-    oświetlenie LED </w:t>
      </w:r>
    </w:p>
    <w:p w:rsidR="003E3651" w:rsidRDefault="003E3651" w:rsidP="003E3651">
      <w:pPr>
        <w:widowControl w:val="0"/>
        <w:tabs>
          <w:tab w:val="right" w:leader="dot" w:pos="-1985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-    słupki metalowe i elementy połączeniowe,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pręty stalowe,</w:t>
      </w:r>
      <w:r>
        <w:rPr>
          <w:rFonts w:eastAsia="Times New Roman" w:cs="Times New Roman"/>
          <w:b/>
          <w:noProof/>
          <w:sz w:val="16"/>
          <w:szCs w:val="16"/>
          <w:lang w:eastAsia="pl-PL"/>
        </w:rPr>
        <w:t xml:space="preserve"> 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beton i jego składniki,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prefabrykaty betonowe fundamentowe,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  <w:tab w:val="left" w:pos="540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materiały do malowania i renowacji powłok malarskich.</w:t>
      </w:r>
    </w:p>
    <w:p w:rsidR="003E3651" w:rsidRDefault="003E3651" w:rsidP="003E3651">
      <w:pPr>
        <w:widowControl w:val="0"/>
        <w:tabs>
          <w:tab w:val="left" w:pos="283"/>
          <w:tab w:val="left" w:pos="540"/>
        </w:tabs>
        <w:suppressAutoHyphens/>
        <w:overflowPunct w:val="0"/>
        <w:autoSpaceDE w:val="0"/>
        <w:ind w:left="283"/>
        <w:jc w:val="both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tabs>
          <w:tab w:val="left" w:pos="283"/>
          <w:tab w:val="left" w:pos="540"/>
        </w:tabs>
        <w:suppressAutoHyphens/>
        <w:overflowPunct w:val="0"/>
        <w:autoSpaceDE w:val="0"/>
        <w:ind w:left="283"/>
        <w:jc w:val="both"/>
        <w:rPr>
          <w:rFonts w:eastAsia="Calibri" w:cs="Times New Roman"/>
          <w:sz w:val="16"/>
          <w:szCs w:val="16"/>
          <w:lang w:eastAsia="ar-SA"/>
        </w:rPr>
      </w:pPr>
      <w:r>
        <w:rPr>
          <w:rFonts w:eastAsia="Times New Roman" w:cs="Times New Roman"/>
          <w:b/>
          <w:noProof/>
          <w:sz w:val="16"/>
          <w:szCs w:val="16"/>
          <w:lang w:eastAsia="pl-PL"/>
        </w:rPr>
        <w:lastRenderedPageBreak/>
        <w:drawing>
          <wp:inline distT="0" distB="0" distL="0" distR="0">
            <wp:extent cx="4779010" cy="2703195"/>
            <wp:effectExtent l="0" t="0" r="254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703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51" w:rsidRDefault="003E3651" w:rsidP="003E3651">
      <w:pPr>
        <w:widowControl w:val="0"/>
        <w:tabs>
          <w:tab w:val="left" w:pos="283"/>
          <w:tab w:val="left" w:pos="540"/>
        </w:tabs>
        <w:suppressAutoHyphens/>
        <w:overflowPunct w:val="0"/>
        <w:autoSpaceDE w:val="0"/>
        <w:jc w:val="both"/>
        <w:rPr>
          <w:rFonts w:eastAsia="Calibri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tabs>
          <w:tab w:val="left" w:pos="283"/>
          <w:tab w:val="left" w:pos="540"/>
        </w:tabs>
        <w:suppressAutoHyphens/>
        <w:overflowPunct w:val="0"/>
        <w:autoSpaceDE w:val="0"/>
        <w:jc w:val="both"/>
        <w:rPr>
          <w:rFonts w:eastAsia="Calibri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tabs>
          <w:tab w:val="left" w:pos="283"/>
          <w:tab w:val="left" w:pos="540"/>
        </w:tabs>
        <w:suppressAutoHyphens/>
        <w:overflowPunct w:val="0"/>
        <w:autoSpaceDE w:val="0"/>
        <w:jc w:val="both"/>
        <w:rPr>
          <w:rFonts w:eastAsia="Calibri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tabs>
          <w:tab w:val="left" w:pos="283"/>
          <w:tab w:val="left" w:pos="540"/>
        </w:tabs>
        <w:suppressAutoHyphens/>
        <w:overflowPunct w:val="0"/>
        <w:autoSpaceDE w:val="0"/>
        <w:jc w:val="center"/>
        <w:rPr>
          <w:rFonts w:eastAsia="Calibri" w:cs="Times New Roman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eastAsia="ar-SA"/>
        </w:rPr>
        <w:t>„DAN – TOR” Iława</w:t>
      </w:r>
    </w:p>
    <w:p w:rsidR="003E3651" w:rsidRDefault="003E3651" w:rsidP="003E3651">
      <w:pPr>
        <w:suppressAutoHyphens/>
        <w:jc w:val="center"/>
      </w:pPr>
    </w:p>
    <w:p w:rsidR="003E3651" w:rsidRDefault="003E3651" w:rsidP="003E3651">
      <w:pPr>
        <w:keepNext/>
        <w:suppressAutoHyphens/>
        <w:spacing w:before="240" w:after="120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Lucida Sans Unicode" w:cs="Tahoma"/>
          <w:i/>
          <w:iCs/>
          <w:sz w:val="16"/>
          <w:szCs w:val="16"/>
          <w:lang w:eastAsia="ar-SA"/>
        </w:rPr>
        <w:br/>
      </w:r>
      <w:r>
        <w:rPr>
          <w:rFonts w:eastAsia="Lucida Sans Unicode" w:cs="Tahoma"/>
          <w:i/>
          <w:noProof/>
          <w:sz w:val="16"/>
          <w:szCs w:val="16"/>
          <w:lang w:eastAsia="pl-PL"/>
        </w:rPr>
        <w:drawing>
          <wp:inline distT="0" distB="0" distL="0" distR="0">
            <wp:extent cx="5382895" cy="183705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83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51" w:rsidRDefault="003E3651" w:rsidP="003E3651">
      <w:pPr>
        <w:widowControl w:val="0"/>
        <w:suppressAutoHyphens/>
        <w:spacing w:after="120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spacing w:after="120"/>
        <w:rPr>
          <w:rFonts w:eastAsia="Arial Unicode MS" w:cs="Times New Roman"/>
          <w:sz w:val="16"/>
          <w:szCs w:val="16"/>
          <w:lang w:eastAsia="ar-SA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1142365</wp:posOffset>
            </wp:positionH>
            <wp:positionV relativeFrom="paragraph">
              <wp:posOffset>41275</wp:posOffset>
            </wp:positionV>
            <wp:extent cx="3200400" cy="2995295"/>
            <wp:effectExtent l="0" t="0" r="0" b="0"/>
            <wp:wrapSquare wrapText="left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9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651" w:rsidRDefault="003E3651" w:rsidP="003E3651">
      <w:pPr>
        <w:widowControl w:val="0"/>
        <w:suppressAutoHyphens/>
        <w:spacing w:after="120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spacing w:after="120"/>
        <w:rPr>
          <w:noProof/>
          <w:lang w:eastAsia="pl-PL"/>
        </w:rPr>
      </w:pPr>
    </w:p>
    <w:p w:rsidR="003E3651" w:rsidRDefault="003E3651" w:rsidP="003E3651">
      <w:pPr>
        <w:widowControl w:val="0"/>
        <w:suppressAutoHyphens/>
        <w:spacing w:after="120"/>
        <w:rPr>
          <w:noProof/>
          <w:lang w:eastAsia="pl-PL"/>
        </w:rPr>
      </w:pPr>
    </w:p>
    <w:p w:rsidR="003E3651" w:rsidRDefault="003E3651" w:rsidP="003E3651">
      <w:pPr>
        <w:widowControl w:val="0"/>
        <w:suppressAutoHyphens/>
        <w:spacing w:after="120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spacing w:after="120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spacing w:after="120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spacing w:after="120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spacing w:after="120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spacing w:after="120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spacing w:after="120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spacing w:after="120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spacing w:after="120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spacing w:after="120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spacing w:after="120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spacing w:after="120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spacing w:after="120"/>
        <w:rPr>
          <w:rFonts w:eastAsia="Times New Roman" w:cs="Times New Roman"/>
          <w:b/>
          <w:bCs/>
          <w:color w:val="135CAE"/>
          <w:sz w:val="16"/>
          <w:szCs w:val="16"/>
          <w:lang w:eastAsia="ar-SA"/>
        </w:rPr>
      </w:pPr>
      <w:r>
        <w:rPr>
          <w:rFonts w:eastAsia="Arial Unicode MS" w:cs="Times New Roman"/>
          <w:noProof/>
          <w:sz w:val="16"/>
          <w:szCs w:val="16"/>
          <w:lang w:eastAsia="pl-PL"/>
        </w:rPr>
        <w:lastRenderedPageBreak/>
        <w:drawing>
          <wp:inline distT="0" distB="0" distL="0" distR="0">
            <wp:extent cx="4277995" cy="1248410"/>
            <wp:effectExtent l="0" t="0" r="825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1248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51" w:rsidRDefault="003E3651" w:rsidP="003E3651">
      <w:pPr>
        <w:keepNext/>
        <w:widowControl w:val="0"/>
        <w:numPr>
          <w:ilvl w:val="2"/>
          <w:numId w:val="2"/>
        </w:numPr>
        <w:shd w:val="clear" w:color="auto" w:fill="F9F9F9"/>
        <w:tabs>
          <w:tab w:val="left" w:pos="360"/>
        </w:tabs>
        <w:suppressAutoHyphens/>
        <w:spacing w:line="270" w:lineRule="atLeast"/>
        <w:ind w:left="360"/>
        <w:rPr>
          <w:rFonts w:eastAsia="Times New Roman" w:cs="Times New Roman"/>
          <w:b/>
          <w:bCs/>
          <w:color w:val="135CAE"/>
          <w:sz w:val="16"/>
          <w:szCs w:val="16"/>
          <w:lang w:eastAsia="ar-SA"/>
        </w:rPr>
      </w:pPr>
      <w:r>
        <w:rPr>
          <w:rFonts w:eastAsia="Times New Roman" w:cs="Times New Roman"/>
          <w:b/>
          <w:bCs/>
          <w:color w:val="135CAE"/>
          <w:sz w:val="16"/>
          <w:szCs w:val="16"/>
          <w:lang w:eastAsia="ar-SA"/>
        </w:rPr>
        <w:t xml:space="preserve">            Podstawowe parametry techniczne</w:t>
      </w:r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b/>
          <w:i/>
          <w:sz w:val="16"/>
          <w:szCs w:val="16"/>
          <w:lang w:eastAsia="ar-SA"/>
        </w:rPr>
      </w:pPr>
      <w:r>
        <w:rPr>
          <w:rFonts w:eastAsia="Arial Unicode MS" w:cs="Times New Roman"/>
          <w:b/>
          <w:i/>
          <w:sz w:val="16"/>
          <w:szCs w:val="16"/>
          <w:lang w:eastAsia="ar-SA"/>
        </w:rPr>
        <w:t xml:space="preserve">wysokość masztu stalowego ocynkowanego : 5 m </w:t>
      </w:r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 xml:space="preserve">wysokość źródła światła LED: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6,0m</w:t>
      </w:r>
      <w:proofErr w:type="spellEnd"/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b/>
          <w:i/>
          <w:sz w:val="16"/>
          <w:szCs w:val="16"/>
          <w:lang w:eastAsia="ar-SA"/>
        </w:rPr>
      </w:pPr>
      <w:r>
        <w:rPr>
          <w:rFonts w:eastAsia="Arial Unicode MS" w:cs="Times New Roman"/>
          <w:b/>
          <w:i/>
          <w:sz w:val="16"/>
          <w:szCs w:val="16"/>
          <w:lang w:eastAsia="ar-SA"/>
        </w:rPr>
        <w:t>pojedyncze źródło światła (</w:t>
      </w:r>
      <w:proofErr w:type="spellStart"/>
      <w:r>
        <w:rPr>
          <w:rFonts w:eastAsia="Arial Unicode MS" w:cs="Times New Roman"/>
          <w:b/>
          <w:i/>
          <w:sz w:val="16"/>
          <w:szCs w:val="16"/>
          <w:lang w:eastAsia="ar-SA"/>
        </w:rPr>
        <w:t>BII</w:t>
      </w:r>
      <w:proofErr w:type="spellEnd"/>
      <w:r>
        <w:rPr>
          <w:rFonts w:eastAsia="Arial Unicode MS" w:cs="Times New Roman"/>
          <w:b/>
          <w:i/>
          <w:sz w:val="16"/>
          <w:szCs w:val="16"/>
          <w:lang w:eastAsia="ar-SA"/>
        </w:rPr>
        <w:t xml:space="preserve">): </w:t>
      </w:r>
      <w:proofErr w:type="spellStart"/>
      <w:r>
        <w:rPr>
          <w:rFonts w:eastAsia="Arial Unicode MS" w:cs="Times New Roman"/>
          <w:b/>
          <w:i/>
          <w:sz w:val="16"/>
          <w:szCs w:val="16"/>
          <w:lang w:eastAsia="ar-SA"/>
        </w:rPr>
        <w:t>28W</w:t>
      </w:r>
      <w:proofErr w:type="spellEnd"/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strumień świetlny: &gt;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2000lm</w:t>
      </w:r>
      <w:proofErr w:type="spellEnd"/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vertAlign w:val="superscript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 xml:space="preserve">regulowany kąt świecenia głowicy LED: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30</w:t>
      </w:r>
      <w:r>
        <w:rPr>
          <w:rFonts w:eastAsia="Arial Unicode MS" w:cs="Times New Roman"/>
          <w:sz w:val="16"/>
          <w:szCs w:val="16"/>
          <w:vertAlign w:val="superscript"/>
          <w:lang w:eastAsia="ar-SA"/>
        </w:rPr>
        <w:t>o</w:t>
      </w:r>
      <w:proofErr w:type="spellEnd"/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barwa światła (biała chłodna): 5000-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7000K</w:t>
      </w:r>
      <w:proofErr w:type="spellEnd"/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 xml:space="preserve">trwałość źródeł światła: 10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000h</w:t>
      </w:r>
      <w:proofErr w:type="spellEnd"/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 xml:space="preserve">napięcie zasilania: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24V</w:t>
      </w:r>
      <w:proofErr w:type="spellEnd"/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pojemność akumulatorów: &gt; 200 Ah , podziemny</w:t>
      </w:r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 xml:space="preserve">warunki pracy: </w:t>
      </w:r>
    </w:p>
    <w:p w:rsidR="003E3651" w:rsidRDefault="003E3651" w:rsidP="003E3651">
      <w:pPr>
        <w:widowControl w:val="0"/>
        <w:numPr>
          <w:ilvl w:val="1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temperatura -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25°C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~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45°C</w:t>
      </w:r>
      <w:proofErr w:type="spellEnd"/>
    </w:p>
    <w:p w:rsidR="003E3651" w:rsidRDefault="003E3651" w:rsidP="003E3651">
      <w:pPr>
        <w:widowControl w:val="0"/>
        <w:numPr>
          <w:ilvl w:val="1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wilgotność 10% ~ 95%</w:t>
      </w:r>
    </w:p>
    <w:p w:rsidR="003E3651" w:rsidRDefault="003E3651" w:rsidP="003E3651">
      <w:pPr>
        <w:pStyle w:val="Akapitzlist"/>
        <w:widowControl w:val="0"/>
        <w:tabs>
          <w:tab w:val="left" w:pos="283"/>
          <w:tab w:val="left" w:pos="540"/>
        </w:tabs>
        <w:suppressAutoHyphens/>
        <w:overflowPunct w:val="0"/>
        <w:autoSpaceDE w:val="0"/>
        <w:jc w:val="center"/>
        <w:rPr>
          <w:rFonts w:eastAsia="Calibri" w:cs="Times New Roman"/>
          <w:sz w:val="16"/>
          <w:szCs w:val="16"/>
          <w:lang w:eastAsia="ar-SA"/>
        </w:rPr>
      </w:pPr>
    </w:p>
    <w:p w:rsidR="003E3651" w:rsidRDefault="003E3651" w:rsidP="003E3651">
      <w:pPr>
        <w:pStyle w:val="Akapitzlist"/>
        <w:widowControl w:val="0"/>
        <w:tabs>
          <w:tab w:val="left" w:pos="283"/>
          <w:tab w:val="left" w:pos="540"/>
        </w:tabs>
        <w:suppressAutoHyphens/>
        <w:overflowPunct w:val="0"/>
        <w:autoSpaceDE w:val="0"/>
        <w:jc w:val="center"/>
        <w:rPr>
          <w:rFonts w:eastAsia="Calibri" w:cs="Times New Roman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eastAsia="ar-SA"/>
        </w:rPr>
        <w:t>„DAN – TOR” Iława</w:t>
      </w:r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 xml:space="preserve">moc modułu fotowoltaicznego: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180W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>/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225W</w:t>
      </w:r>
      <w:proofErr w:type="spellEnd"/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mikroprocesorowy regulator pracy lampy: tak</w:t>
      </w:r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stopień ochrony: IP 67</w:t>
      </w:r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 xml:space="preserve">czas ładowania akumulatorów: </w:t>
      </w:r>
    </w:p>
    <w:p w:rsidR="003E3651" w:rsidRDefault="003E3651" w:rsidP="003E3651">
      <w:pPr>
        <w:widowControl w:val="0"/>
        <w:numPr>
          <w:ilvl w:val="1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 xml:space="preserve">lato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4h</w:t>
      </w:r>
      <w:proofErr w:type="spellEnd"/>
    </w:p>
    <w:p w:rsidR="003E3651" w:rsidRDefault="003E3651" w:rsidP="003E3651">
      <w:pPr>
        <w:widowControl w:val="0"/>
        <w:numPr>
          <w:ilvl w:val="1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 xml:space="preserve">zima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10h</w:t>
      </w:r>
      <w:proofErr w:type="spellEnd"/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okres autonomii systemu: 2-3 dni</w:t>
      </w:r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kolor podstawowy: szary</w:t>
      </w:r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sterowanie czujnikiem ruchu: nie</w:t>
      </w:r>
    </w:p>
    <w:p w:rsidR="003E3651" w:rsidRDefault="003E3651" w:rsidP="003E3651">
      <w:pPr>
        <w:widowControl w:val="0"/>
        <w:numPr>
          <w:ilvl w:val="0"/>
          <w:numId w:val="3"/>
        </w:numPr>
        <w:shd w:val="clear" w:color="auto" w:fill="F9F9F9"/>
        <w:tabs>
          <w:tab w:val="left" w:pos="786"/>
        </w:tabs>
        <w:suppressAutoHyphens/>
        <w:spacing w:before="100" w:after="100" w:line="270" w:lineRule="atLeast"/>
        <w:ind w:left="786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sterowanie programatorem czasu pracy: nie</w:t>
      </w:r>
    </w:p>
    <w:p w:rsidR="003E3651" w:rsidRDefault="003E3651" w:rsidP="003E3651">
      <w:pPr>
        <w:widowControl w:val="0"/>
        <w:suppressAutoHyphens/>
        <w:spacing w:after="120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2.3. Beton i jego składniki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>Deskowanie powinno zapewnić sztywność i niezmienność układu oraz bezpieczeństwo konstrukcji. Deskowanie powinno być skonstruowane w sposób umożliwiający łatwy jego montaż i demontaż. Przed wypełnieniem masą betonową, deskowanie powinno być sprawdzone, aby wykluczało wyciek zaprawy z masy betonowej, możliwość zniekształceń lub odchyleń w betonowanej konstrukcji.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Klasa betonu - jeśli w dokumentacji projektowej lub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nie określono inaczej, powinna być B 15 lub B 20. Beton powinien odpowiadać wymaganiom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PN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>-B-06250 [3]. Składnikami betonu są: cement, kruszywo, woda i domieszki.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Cement stosowany do betonu powinien być cementem portlandzkim klasy co najmniej „32,5”, odpowiadającym wymaganiom 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proofErr w:type="spellStart"/>
      <w:r>
        <w:rPr>
          <w:rFonts w:eastAsia="Arial Unicode MS" w:cs="Times New Roman"/>
          <w:sz w:val="16"/>
          <w:szCs w:val="16"/>
          <w:lang w:eastAsia="ar-SA"/>
        </w:rPr>
        <w:t>PN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>-B-19701 [8]. Transport i przechowywanie cementu powinny być zgodne z postanowieniami BN-88/B-6731-08 [46].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Kruszywo do betonu (piasek, żwir, grys, mieszanka z kruszywa naturalnego sortowanego, kruszywa łamanego i otoczaków) powinno odpowiadać wymaganiom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PN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>-B-06712 [5].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Woda powinna być „odmiany 1”, zgodnie z wymaganiami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PN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-B-32250 [10]. Bez badań laboratoryjnych można </w:t>
      </w:r>
      <w:r>
        <w:rPr>
          <w:rFonts w:eastAsia="Arial Unicode MS" w:cs="Times New Roman"/>
          <w:sz w:val="16"/>
          <w:szCs w:val="16"/>
          <w:lang w:eastAsia="ar-SA"/>
        </w:rPr>
        <w:lastRenderedPageBreak/>
        <w:t>stosować wodę pitną.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Domieszki chemiczne do betonu powinny być stosowane, jeśli przewidują to dokumentacja projektowa,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lub wskazania Inżyniera, przy czym w przypadku braku danych dotyczących rodzaju domieszek, ich dobór powinien być dokonany zgodnie z zaleceniami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PN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-B-06250 [3]. Domieszki powinny odpowiadać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PN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>-B-23010 [9].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Pręty zbrojenia mogą być stosowane, jeśli przewiduje to dokumentacja projektowa lub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. Pręty zbrojenia powinny odpowiadać 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proofErr w:type="spellStart"/>
      <w:r>
        <w:rPr>
          <w:rFonts w:eastAsia="Arial Unicode MS" w:cs="Times New Roman"/>
          <w:sz w:val="16"/>
          <w:szCs w:val="16"/>
          <w:lang w:eastAsia="ar-SA"/>
        </w:rPr>
        <w:t>PN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-B-06251 [4]. Właściwości mechaniczne stali używanej do zbrojenia betonu powinny odpowiadać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PN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>-B-03264 [1].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2.10. Oświetlenie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>W/w  materiały są dostarczone przez producenta w całych elementach lub w prefabrykatach wraz z instrukcją montażu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3. SPRZĘT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3.1. Ogólne wymagania dotyczące sprzętu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ab/>
      </w:r>
      <w:r>
        <w:rPr>
          <w:rFonts w:eastAsia="Arial Unicode MS" w:cs="Times New Roman"/>
          <w:sz w:val="16"/>
          <w:szCs w:val="16"/>
          <w:lang w:eastAsia="ar-SA"/>
        </w:rPr>
        <w:t xml:space="preserve">Ogólne wymagania dotyczące sprzętu podano w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D-00.00.00 „Wymagania ogólne” pkt 3.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3.2. Sprzęt do montażu małej architektury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 xml:space="preserve">       </w:t>
      </w:r>
      <w:r>
        <w:rPr>
          <w:rFonts w:eastAsia="Arial Unicode MS" w:cs="Times New Roman"/>
          <w:sz w:val="16"/>
          <w:szCs w:val="16"/>
          <w:lang w:eastAsia="ar-SA"/>
        </w:rPr>
        <w:tab/>
        <w:t>Wykonawca przystępujący do wykonania robót  powinien wykazać się możliwością korzystania z następującego sprzętu: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szpadli, drągów stalowych, wyciągarek do napinania linek i siatek, młotków, kluczy do montażu elementów panelowych itp.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środków transportu materiałów,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żurawi samochodowych o udźwigu do 4 t,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ewentualnych wiertnic do wykonania dołów pod słupki w gruncie zwięzłym (lecz nie w terenach uzbrojonych w centrach miast),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przewoźnych zbiorników do wody,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betoniarek  przewoźnych do wykonywania fundamentów betonowych „na mokro”,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 xml:space="preserve">koparek kołowych (np. 0,15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m</w:t>
      </w:r>
      <w:r>
        <w:rPr>
          <w:rFonts w:eastAsia="Arial Unicode MS" w:cs="Times New Roman"/>
          <w:sz w:val="16"/>
          <w:szCs w:val="16"/>
          <w:vertAlign w:val="superscript"/>
          <w:lang w:eastAsia="ar-SA"/>
        </w:rPr>
        <w:t>3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) lub koparek gąsienicowych (np. 0,25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m</w:t>
      </w:r>
      <w:r>
        <w:rPr>
          <w:rFonts w:eastAsia="Arial Unicode MS" w:cs="Times New Roman"/>
          <w:sz w:val="16"/>
          <w:szCs w:val="16"/>
          <w:vertAlign w:val="superscript"/>
          <w:lang w:eastAsia="ar-SA"/>
        </w:rPr>
        <w:t>3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>),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sprzętu spawalniczego itp.</w:t>
      </w:r>
    </w:p>
    <w:p w:rsidR="003E3651" w:rsidRDefault="003E3651" w:rsidP="003E3651">
      <w:pPr>
        <w:keepNext/>
        <w:keepLines/>
        <w:widowControl w:val="0"/>
        <w:suppressAutoHyphens/>
        <w:overflowPunct w:val="0"/>
        <w:autoSpaceDE w:val="0"/>
        <w:spacing w:before="240" w:after="120"/>
        <w:jc w:val="both"/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</w:pPr>
      <w:r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  <w:t>4. TRANSPORT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4.1. Ogólne wymagania dotyczące transportu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ab/>
      </w:r>
      <w:r>
        <w:rPr>
          <w:rFonts w:eastAsia="Arial Unicode MS" w:cs="Times New Roman"/>
          <w:sz w:val="16"/>
          <w:szCs w:val="16"/>
          <w:lang w:eastAsia="ar-SA"/>
        </w:rPr>
        <w:t xml:space="preserve">Ogólne wymagania dotyczące transportu podano w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D-00.00.00 „Wymagania ogólne” pkt 4.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 xml:space="preserve">4.2. Transport materiałów 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>Elementy można przewozić ogólnie dostępnymi środkami transportu o ile producent nie wydał szczegółowych zaleceń</w:t>
      </w:r>
    </w:p>
    <w:p w:rsidR="003E3651" w:rsidRDefault="003E3651" w:rsidP="003E3651">
      <w:pPr>
        <w:keepNext/>
        <w:keepLines/>
        <w:widowControl w:val="0"/>
        <w:suppressAutoHyphens/>
        <w:overflowPunct w:val="0"/>
        <w:autoSpaceDE w:val="0"/>
        <w:spacing w:before="240" w:after="120"/>
        <w:jc w:val="both"/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</w:pPr>
      <w:r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  <w:t>5. WYKONANIE ROBÓT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5.1. Ogólne zasady wykonania robót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Ogólne zasady wykonania robót podano w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D-00.00.00 „Wymagania ogólne” pkt 5.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5.2. Zasady wykonania urządzeń zabezpieczających ruch pieszych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>W zależności od wielkości robót Wykonawca przedstawi do akceptacji Inżyniera zakres robót wykonywanych bezpośrednio na placu budowy oraz robót przygotowawczych na zapleczu.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tabs>
          <w:tab w:val="left" w:pos="283"/>
          <w:tab w:val="left" w:pos="540"/>
        </w:tabs>
        <w:suppressAutoHyphens/>
        <w:overflowPunct w:val="0"/>
        <w:autoSpaceDE w:val="0"/>
        <w:jc w:val="center"/>
        <w:rPr>
          <w:rFonts w:eastAsia="Calibri" w:cs="Times New Roman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eastAsia="ar-SA"/>
        </w:rPr>
        <w:t>„DAN – TOR” Iława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Przed wykonywaniem robót należy wytyczyć lokalizację urządzeń  na podstawie dokumentacji projektowej,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lub zaleceń Inżyniera.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Do podstawowych czynności objętych niniejszą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przy wykonywaniu ww. robót należą: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wykonanie dołów pod słupki,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wykonanie fundamentów betonowych pod słupki,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ustawienie słupków,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zamontowanie elementów 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montaż urządzeń wykonywać w oparciu o instrukcję montażu wydaną przez wytwórcę.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5.3. Wykonanie dołów pod słupki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Jeśli dokumentacja projektowa lub 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nie podaje  inaczej, to doły pod słupki powinny mieć wymiary w planie co najmniej o 20 cm większe od wymiarów słupka, a głębokość od  0,8 do 1,2 m.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5.4. Ustawienie słupków wraz z wykonaniem fundamentów betonowych pod słupki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 xml:space="preserve">        </w:t>
      </w:r>
      <w:r>
        <w:rPr>
          <w:rFonts w:eastAsia="Arial Unicode MS" w:cs="Times New Roman"/>
          <w:b/>
          <w:sz w:val="16"/>
          <w:szCs w:val="16"/>
          <w:lang w:eastAsia="ar-SA"/>
        </w:rPr>
        <w:tab/>
      </w:r>
      <w:r>
        <w:rPr>
          <w:rFonts w:eastAsia="Arial Unicode MS" w:cs="Times New Roman"/>
          <w:sz w:val="16"/>
          <w:szCs w:val="16"/>
          <w:lang w:eastAsia="ar-SA"/>
        </w:rPr>
        <w:t xml:space="preserve">Jeśli dokumentacja projektowa lub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nie podaje inaczej, to słupki mogą być osadzone w betonie ułożonym w dołku albo oprawione w bloczki betonowe formowane na zapleczu i dostarczane do miejsca budowy urządzenia zabezpieczającego ruch pieszych. Po uzyskaniu akceptacji Inżyniera, słupki betonowe mogą być obłożone kamieniami lub gruzem i przysypane ziemią.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>Słupek należy wstawić w gotowy wykop i napełnić otwór mieszanką betonową odpowiadającą wymaganiom punktu 2.9. Do czasu stwardnienia betonu słupek należy podeprzeć.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Fundament betonowy wykonany „na mokro”, w którym osadzono słupek, można wykorzystywać do dalszych prac (np. napinania siatki) co najmniej po 7 dniach od ustawienia słupka w betonie, a jeśli temperatura w czasie wykonywania </w:t>
      </w:r>
      <w:r>
        <w:rPr>
          <w:rFonts w:eastAsia="Arial Unicode MS" w:cs="Times New Roman"/>
          <w:sz w:val="16"/>
          <w:szCs w:val="16"/>
          <w:lang w:eastAsia="ar-SA"/>
        </w:rPr>
        <w:lastRenderedPageBreak/>
        <w:t xml:space="preserve">fundamentu jest niższa od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10</w:t>
      </w:r>
      <w:r>
        <w:rPr>
          <w:rFonts w:eastAsia="Arial Unicode MS" w:cs="Times New Roman"/>
          <w:sz w:val="16"/>
          <w:szCs w:val="16"/>
          <w:vertAlign w:val="superscript"/>
          <w:lang w:eastAsia="ar-SA"/>
        </w:rPr>
        <w:t>o</w:t>
      </w:r>
      <w:r>
        <w:rPr>
          <w:rFonts w:eastAsia="Arial Unicode MS" w:cs="Times New Roman"/>
          <w:sz w:val="16"/>
          <w:szCs w:val="16"/>
          <w:lang w:eastAsia="ar-SA"/>
        </w:rPr>
        <w:t>C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- po 14 dniach.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5.5. Ustawienie słupków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ab/>
      </w:r>
      <w:r>
        <w:rPr>
          <w:rFonts w:eastAsia="Arial Unicode MS" w:cs="Times New Roman"/>
          <w:sz w:val="16"/>
          <w:szCs w:val="16"/>
          <w:lang w:eastAsia="ar-SA"/>
        </w:rPr>
        <w:t>Słupki, bez względu na rodzaj i sposób osadzenia w gruncie, powinny stać pionowo w linii urządzenia zabezpieczającego ruch pieszych, a ich wierzchołki powinny znajdować się na jednakowej wysokości. Słupki z rur powinny mieć zaspawany górny otwór rury.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5.13.</w:t>
      </w:r>
      <w:r>
        <w:rPr>
          <w:rFonts w:eastAsia="Arial Unicode MS" w:cs="Times New Roman"/>
          <w:sz w:val="16"/>
          <w:szCs w:val="16"/>
          <w:lang w:eastAsia="ar-SA"/>
        </w:rPr>
        <w:t xml:space="preserve"> </w:t>
      </w:r>
      <w:r>
        <w:rPr>
          <w:rFonts w:eastAsia="Arial Unicode MS" w:cs="Times New Roman"/>
          <w:b/>
          <w:sz w:val="16"/>
          <w:szCs w:val="16"/>
          <w:lang w:eastAsia="ar-SA"/>
        </w:rPr>
        <w:t xml:space="preserve">Malowanie metalowych urządzeń 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Zaleca się przeprowadzać malowanie w okresie od maja do września, wyłącznie w dni pogodne, przy zalecanej temperaturze powietrza od 15 do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20</w:t>
      </w:r>
      <w:r>
        <w:rPr>
          <w:rFonts w:eastAsia="Arial Unicode MS" w:cs="Times New Roman"/>
          <w:sz w:val="16"/>
          <w:szCs w:val="16"/>
          <w:vertAlign w:val="superscript"/>
          <w:lang w:eastAsia="ar-SA"/>
        </w:rPr>
        <w:t>o</w:t>
      </w:r>
      <w:r>
        <w:rPr>
          <w:rFonts w:eastAsia="Arial Unicode MS" w:cs="Times New Roman"/>
          <w:sz w:val="16"/>
          <w:szCs w:val="16"/>
          <w:lang w:eastAsia="ar-SA"/>
        </w:rPr>
        <w:t>C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>; nie należy malować pędzlem lub wałkiem w temperaturze poniżej  +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5</w:t>
      </w:r>
      <w:r>
        <w:rPr>
          <w:rFonts w:eastAsia="Arial Unicode MS" w:cs="Times New Roman"/>
          <w:sz w:val="16"/>
          <w:szCs w:val="16"/>
          <w:vertAlign w:val="superscript"/>
          <w:lang w:eastAsia="ar-SA"/>
        </w:rPr>
        <w:t>o</w:t>
      </w:r>
      <w:r>
        <w:rPr>
          <w:rFonts w:eastAsia="Arial Unicode MS" w:cs="Times New Roman"/>
          <w:sz w:val="16"/>
          <w:szCs w:val="16"/>
          <w:lang w:eastAsia="ar-SA"/>
        </w:rPr>
        <w:t>C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>, jak również malować metodą natryskową w temperaturze poniżej +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15</w:t>
      </w:r>
      <w:r>
        <w:rPr>
          <w:rFonts w:eastAsia="Arial Unicode MS" w:cs="Times New Roman"/>
          <w:sz w:val="16"/>
          <w:szCs w:val="16"/>
          <w:vertAlign w:val="superscript"/>
          <w:lang w:eastAsia="ar-SA"/>
        </w:rPr>
        <w:t>o</w:t>
      </w:r>
      <w:r>
        <w:rPr>
          <w:rFonts w:eastAsia="Arial Unicode MS" w:cs="Times New Roman"/>
          <w:sz w:val="16"/>
          <w:szCs w:val="16"/>
          <w:lang w:eastAsia="ar-SA"/>
        </w:rPr>
        <w:t>C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oraz podczas występującej mgły i rosy.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>Należy przestrzegać następujących zasad przy malowaniu urządzeń: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 xml:space="preserve">z powierzchni stali należy usunąć bardzo starannie pył, kurz, pleśnie, tłuszcz, rdzę, zgorzelinę, ewentualnie starą łuszczącą się farbę i inne zabrudzenia zmniejszające przyczepność farby do podłoża; poprzez zmywanie, usuwanie przy użyciu szczotek stalowych, odrdzewiaczy chemicznych, materiałów ściernych, piaskowania, odpalania, ługowania lub przy zastosowaniu innych środków, zgodnie z wymaganiami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PN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-ISO-8501-1 [42] i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PN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>-H-97052 [27],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przed malowaniem należy wypełnić wgłębienia i rysy na powierzchniach za pomocą kitów lub szpachlówek ogólnego stosowania, a następnie - wygładzić i zeszlifować podłoże pod farbę,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do malowania można stosować farby ogólnego stosowania przeznaczone do użytku zewnętrznego, dobrej jakości, z nieprzekroczonym okresem gwarancji, jako:</w:t>
      </w:r>
    </w:p>
    <w:p w:rsidR="003E3651" w:rsidRDefault="003E3651" w:rsidP="003E3651">
      <w:pPr>
        <w:widowControl w:val="0"/>
        <w:numPr>
          <w:ilvl w:val="0"/>
          <w:numId w:val="4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farby do gruntowania przeciwrdzewnego (farby i lakiery przeciwkorozyjne),</w:t>
      </w:r>
    </w:p>
    <w:p w:rsidR="003E3651" w:rsidRDefault="003E3651" w:rsidP="003E3651">
      <w:pPr>
        <w:widowControl w:val="0"/>
        <w:numPr>
          <w:ilvl w:val="0"/>
          <w:numId w:val="4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farby nawierzchniowe (np. lakiery, emalie, wyroby ftalowe, ftalowo-styrenowe, akrylowe itp.)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 rozcieńczalniki zalecone przez producenta stosowanej farby,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farbę dłużej przechowywaną należy przygotować do malowania przez usunięcie „kożucha” (zestalonej substancji błonotwórczej na powierzchni farby), dokładne wymieszanie (połączenie lżejszych i cięższych składników farby), rozcieńczenie zbyt zgęstniałej farby, ewentualne przecedzenie (usunięcie nierozmieszanych resztek osadu i innych zanieczyszczeń),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malowanie można przeprowadzać pędzlami, wałkami malarskimi lub ewentualnie metodą natryskową (pistoletami elektrycznymi, urządzeniami kompresorowymi itp.),</w:t>
      </w:r>
    </w:p>
    <w:p w:rsidR="003E3651" w:rsidRDefault="003E3651" w:rsidP="003E365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z zasady malowanie należy wykonać dwuwarstwowo: farbą do gruntowania i farbą nawierzchniową, przy czym każdą następną warstwę można nałożyć po całkowitym wyschnięciu farby poprzedniej.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Malowanie powinno odpowiadać wymaganiom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PN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>-H-97053 [28].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Rodzaj farby oraz liczbę jej warstw zastosowanych przy malowaniu określają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lub Inżynier na wniosek Wykonawcy.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>Należy zwracać uwagę na dokładne pokrycie farbą miejsc stykania się słupka metalowego z betonem fundamentu, ze względu na najszybsze niszczenie się farby w tych miejscach i pojawianie się rdzawych zacieków sygnalizujących korozje słupka.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>Zaleca się stosowanie farb możliwie jak najmniej szkodliwych dla zdrowia ludzi i środowiska, z niską zawartością m.in. niearomatycznych rozpuszczalników. Przy stosowaniu farb nieznanego pochodzenia Wykonawca przedstawi do akceptacji Inżyniera badania na zawartość szkodliwych składników (np. trującego toluenu jako rozpuszczalnika).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>Wykonawca nie dopuści do skażenia farbami wód powierzchniowych    i gruntowych oraz kanalizacji. Zlewki poprodukcyjne, powstające przy myciu urządzeń i pędzli oraz z samej farby, należy usuwać do izolowanych zbiorników, w celu ich naturalnej lub sztucznej neutralizacji i detoksykacji.</w:t>
      </w:r>
    </w:p>
    <w:p w:rsidR="003E3651" w:rsidRDefault="003E3651" w:rsidP="003E3651">
      <w:pPr>
        <w:keepNext/>
        <w:keepLines/>
        <w:widowControl w:val="0"/>
        <w:suppressAutoHyphens/>
        <w:overflowPunct w:val="0"/>
        <w:autoSpaceDE w:val="0"/>
        <w:spacing w:before="240" w:after="120"/>
        <w:jc w:val="both"/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</w:pPr>
      <w:r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  <w:t>6. KONTROLA JAKOŚCI ROBÓT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6.1. Ogólne zasady kontroli jakości robót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Ogólne zasady kontroli jakości robót podano w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D-00.00.00 „Wymagania ogólne” pkt 6.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6.2. Badania przed przystąpieniem do robót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>Przed przystąpieniem do robót Wykonawca powinien uzyskać od producentów zaświadczenia o jakości (atesty) oraz wykonać badania materiałów przeznaczonych do wykonania robót i przedstawić ich wyniki Inżynierowi w celu akceptacji materiałów, zgodnie z wymaganiami określonymi w pkt 2.3.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6.3. Badania i kontrola w czasie wykonywania robót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 xml:space="preserve">6.3.1. </w:t>
      </w:r>
      <w:r>
        <w:rPr>
          <w:rFonts w:eastAsia="Arial Unicode MS" w:cs="Times New Roman"/>
          <w:sz w:val="16"/>
          <w:szCs w:val="16"/>
          <w:lang w:eastAsia="ar-SA"/>
        </w:rPr>
        <w:t>Badania materiałów w czasie wykonywania robót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tabs>
          <w:tab w:val="left" w:pos="283"/>
          <w:tab w:val="left" w:pos="540"/>
        </w:tabs>
        <w:suppressAutoHyphens/>
        <w:overflowPunct w:val="0"/>
        <w:autoSpaceDE w:val="0"/>
        <w:jc w:val="center"/>
        <w:rPr>
          <w:rFonts w:eastAsia="Calibri" w:cs="Times New Roman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eastAsia="ar-SA"/>
        </w:rPr>
        <w:t>„DAN – TOR” Iława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widowControl w:val="0"/>
        <w:suppressAutoHyphens/>
        <w:overflowPunct w:val="0"/>
        <w:autoSpaceDE w:val="0"/>
        <w:spacing w:before="12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>Wszystkie materiały dostarczone na budowę z zaświadczeniem o jakości (atestem) producenta powinny być sprawdzone w zakresie powierzchni wyrobu i jego wymiarów.</w:t>
      </w:r>
    </w:p>
    <w:p w:rsidR="003E3651" w:rsidRDefault="003E3651" w:rsidP="003E3651">
      <w:pPr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 xml:space="preserve">6.3.2. </w:t>
      </w:r>
      <w:r>
        <w:rPr>
          <w:rFonts w:eastAsia="Arial Unicode MS" w:cs="Times New Roman"/>
          <w:sz w:val="16"/>
          <w:szCs w:val="16"/>
          <w:lang w:eastAsia="ar-SA"/>
        </w:rPr>
        <w:t>Kontrola w czasie wykonywania robót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>W czasie wykonywania urządzeń należy zbadać:</w:t>
      </w:r>
    </w:p>
    <w:p w:rsidR="003E3651" w:rsidRDefault="003E3651" w:rsidP="003E3651">
      <w:pPr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zgodność wykonania urządzeń z dokumentacją projektową (lokalizacja, wymiary),</w:t>
      </w:r>
    </w:p>
    <w:p w:rsidR="003E3651" w:rsidRDefault="003E3651" w:rsidP="003E3651">
      <w:pPr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zachowanie dopuszczalnych odchyłek wymiarów, zgodnie z instrukcją montażu</w:t>
      </w:r>
    </w:p>
    <w:p w:rsidR="003E3651" w:rsidRDefault="003E3651" w:rsidP="003E3651">
      <w:pPr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prawidłowość wykonania dołów pod słupki, zgodnie z punktem 5.3,</w:t>
      </w:r>
    </w:p>
    <w:p w:rsidR="003E3651" w:rsidRDefault="003E3651" w:rsidP="003E3651">
      <w:pPr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poprawność wykonania fundamentów pod słupki zgodnie z punktem 5.4,</w:t>
      </w:r>
    </w:p>
    <w:p w:rsidR="003E3651" w:rsidRDefault="003E3651" w:rsidP="003E3651">
      <w:pPr>
        <w:widowControl w:val="0"/>
        <w:numPr>
          <w:ilvl w:val="0"/>
          <w:numId w:val="5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 xml:space="preserve">poprawność ustawienia słupków, zgodnie z punktem 5.5 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>W przypadku wykonania spawanych złącz elementów urządzeń:</w:t>
      </w:r>
    </w:p>
    <w:p w:rsidR="003E3651" w:rsidRDefault="003E3651" w:rsidP="003E3651">
      <w:pPr>
        <w:widowControl w:val="0"/>
        <w:numPr>
          <w:ilvl w:val="0"/>
          <w:numId w:val="6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 xml:space="preserve">przed oględzinami, spoinę i przylegające do niej elementy łączone  (od 10 do 20 mm z każdej strony) należy dokładnie oczyścić z żużla, zgorzeliny, odprysków, rdzy, farb i innych zanieczyszczeń utrudniających prowadzenie obserwacji i </w:t>
      </w:r>
      <w:r>
        <w:rPr>
          <w:rFonts w:eastAsia="Arial Unicode MS" w:cs="Times New Roman"/>
          <w:sz w:val="16"/>
          <w:szCs w:val="16"/>
          <w:lang w:eastAsia="ar-SA"/>
        </w:rPr>
        <w:lastRenderedPageBreak/>
        <w:t>pomiarów,</w:t>
      </w:r>
    </w:p>
    <w:p w:rsidR="003E3651" w:rsidRDefault="003E3651" w:rsidP="003E3651">
      <w:pPr>
        <w:widowControl w:val="0"/>
        <w:numPr>
          <w:ilvl w:val="0"/>
          <w:numId w:val="6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oględziny złączy należy przeprowadzić wizualnie z ewentualnym użyciem lupy o powiększeniu od 2 do 4 razy; do pomiarów spoin powinny być stosowane wzorniki, przymiary oraz uniwersalne spoinomierze,</w:t>
      </w:r>
    </w:p>
    <w:p w:rsidR="003E3651" w:rsidRDefault="003E3651" w:rsidP="003E3651">
      <w:pPr>
        <w:widowControl w:val="0"/>
        <w:numPr>
          <w:ilvl w:val="0"/>
          <w:numId w:val="6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 xml:space="preserve">w przypadkach wątpliwych można zlecić uprawnionej jednostce zbadanie wytrzymałości zmęczeniowej spoin, zgodnie z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PN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>-M-06515 [29],</w:t>
      </w:r>
    </w:p>
    <w:p w:rsidR="003E3651" w:rsidRDefault="003E3651" w:rsidP="003E3651">
      <w:pPr>
        <w:widowControl w:val="0"/>
        <w:numPr>
          <w:ilvl w:val="0"/>
          <w:numId w:val="6"/>
        </w:numPr>
        <w:tabs>
          <w:tab w:val="left" w:pos="283"/>
        </w:tabs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złącza o wadach większych niż dopuszczalne powinny być naprawione powtórnym spawaniem.</w:t>
      </w:r>
    </w:p>
    <w:p w:rsidR="003E3651" w:rsidRDefault="003E3651" w:rsidP="003E3651">
      <w:pPr>
        <w:keepNext/>
        <w:keepLines/>
        <w:widowControl w:val="0"/>
        <w:suppressAutoHyphens/>
        <w:overflowPunct w:val="0"/>
        <w:autoSpaceDE w:val="0"/>
        <w:spacing w:before="240" w:after="120"/>
        <w:jc w:val="both"/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</w:pPr>
      <w:r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  <w:t>7. OBMIAR ROBÓT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7.1. Ogólne zasady obmiaru robót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Ogólne zasady obmiaru robót podano w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D-00.00.00 „Wymagania ogólne” pkt 7.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7.2. Jednostka obmiarowa</w:t>
      </w:r>
    </w:p>
    <w:p w:rsidR="003E3651" w:rsidRDefault="003E3651" w:rsidP="003E3651">
      <w:pPr>
        <w:widowControl w:val="0"/>
        <w:suppressAutoHyphens/>
        <w:overflowPunct w:val="0"/>
        <w:autoSpaceDE w:val="0"/>
        <w:ind w:firstLine="709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Jednostką obmiarową  jest szt. (sztuka).</w:t>
      </w:r>
    </w:p>
    <w:p w:rsidR="003E3651" w:rsidRDefault="003E3651" w:rsidP="003E3651">
      <w:pPr>
        <w:keepNext/>
        <w:keepLines/>
        <w:widowControl w:val="0"/>
        <w:suppressAutoHyphens/>
        <w:overflowPunct w:val="0"/>
        <w:autoSpaceDE w:val="0"/>
        <w:spacing w:before="240" w:after="120"/>
        <w:jc w:val="both"/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</w:pPr>
      <w:r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  <w:t>8. ODBIÓR ROBÓT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Ogólne zasady odbioru robót podano w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D-M-00.00.00 „Wymagania ogólne” pkt 8. oraz instrukcją montażu wydaną przez producenta.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Roboty uznaje się za wykonane zgodnie z dokumentacją projektową,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i wymaganiami Inżyniera, jeżeli wszystkie pomiary i badania z zachowaniem tolerancji wg pkt 6, dały wyniki pozytywne.</w:t>
      </w:r>
    </w:p>
    <w:p w:rsidR="003E3651" w:rsidRDefault="003E3651" w:rsidP="003E3651">
      <w:pPr>
        <w:keepNext/>
        <w:keepLines/>
        <w:widowControl w:val="0"/>
        <w:suppressAutoHyphens/>
        <w:overflowPunct w:val="0"/>
        <w:autoSpaceDE w:val="0"/>
        <w:spacing w:before="240" w:after="120"/>
        <w:jc w:val="both"/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</w:pPr>
      <w:r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  <w:t>9. PODSTAWA PŁATNOŚCI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9.1. Ogólne ustalenia dotyczące podstawy płatności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 xml:space="preserve">Ogólne ustalenia dotyczące podstawy płatności podano w </w:t>
      </w:r>
      <w:proofErr w:type="spellStart"/>
      <w:r>
        <w:rPr>
          <w:rFonts w:eastAsia="Arial Unicode MS" w:cs="Times New Roman"/>
          <w:sz w:val="16"/>
          <w:szCs w:val="16"/>
          <w:lang w:eastAsia="ar-SA"/>
        </w:rPr>
        <w:t>SST</w:t>
      </w:r>
      <w:proofErr w:type="spellEnd"/>
      <w:r>
        <w:rPr>
          <w:rFonts w:eastAsia="Arial Unicode MS" w:cs="Times New Roman"/>
          <w:sz w:val="16"/>
          <w:szCs w:val="16"/>
          <w:lang w:eastAsia="ar-SA"/>
        </w:rPr>
        <w:t xml:space="preserve"> D-00.00.00 „Wymagania ogólne” pkt 9.</w:t>
      </w:r>
    </w:p>
    <w:p w:rsidR="003E3651" w:rsidRDefault="003E3651" w:rsidP="003E3651">
      <w:pPr>
        <w:keepNext/>
        <w:widowControl w:val="0"/>
        <w:suppressAutoHyphens/>
        <w:overflowPunct w:val="0"/>
        <w:autoSpaceDE w:val="0"/>
        <w:spacing w:before="120" w:after="120"/>
        <w:jc w:val="both"/>
        <w:rPr>
          <w:rFonts w:eastAsia="Arial Unicode MS" w:cs="Times New Roman"/>
          <w:b/>
          <w:sz w:val="16"/>
          <w:szCs w:val="16"/>
          <w:lang w:eastAsia="ar-SA"/>
        </w:rPr>
      </w:pPr>
      <w:r>
        <w:rPr>
          <w:rFonts w:eastAsia="Arial Unicode MS" w:cs="Times New Roman"/>
          <w:b/>
          <w:sz w:val="16"/>
          <w:szCs w:val="16"/>
          <w:lang w:eastAsia="ar-SA"/>
        </w:rPr>
        <w:t>9.2. Cena jednostek obmiarowych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ab/>
        <w:t>Cena wykonania elementów małej architektury obejmuje: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- roboty pomiarowe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- transport na budowę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- montaż zgodny z instrukcją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  <w:r>
        <w:rPr>
          <w:rFonts w:eastAsia="Arial Unicode MS" w:cs="Times New Roman"/>
          <w:sz w:val="16"/>
          <w:szCs w:val="16"/>
          <w:lang w:eastAsia="ar-SA"/>
        </w:rPr>
        <w:t>- przeprowadzenie prób i sprawdzenie elementów zgodnie z instrukcją</w:t>
      </w:r>
    </w:p>
    <w:p w:rsidR="003E3651" w:rsidRDefault="003E3651" w:rsidP="003E3651">
      <w:pPr>
        <w:widowControl w:val="0"/>
        <w:suppressAutoHyphens/>
        <w:overflowPunct w:val="0"/>
        <w:autoSpaceDE w:val="0"/>
        <w:jc w:val="both"/>
        <w:rPr>
          <w:rFonts w:eastAsia="Arial Unicode MS" w:cs="Times New Roman"/>
          <w:sz w:val="16"/>
          <w:szCs w:val="16"/>
          <w:lang w:eastAsia="ar-SA"/>
        </w:rPr>
      </w:pPr>
    </w:p>
    <w:p w:rsidR="003E3651" w:rsidRDefault="003E3651" w:rsidP="003E3651">
      <w:pPr>
        <w:keepNext/>
        <w:keepLines/>
        <w:widowControl w:val="0"/>
        <w:suppressAutoHyphens/>
        <w:overflowPunct w:val="0"/>
        <w:autoSpaceDE w:val="0"/>
        <w:snapToGrid w:val="0"/>
        <w:spacing w:before="120" w:after="120"/>
        <w:ind w:right="-5727"/>
        <w:jc w:val="both"/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</w:pPr>
      <w:r>
        <w:rPr>
          <w:rFonts w:eastAsia="Arial Unicode MS" w:cs="Times New Roman"/>
          <w:b/>
          <w:caps/>
          <w:kern w:val="2"/>
          <w:sz w:val="16"/>
          <w:szCs w:val="16"/>
          <w:lang w:eastAsia="ar-SA"/>
        </w:rPr>
        <w:t>10. PRZEPISY ZWIĄZANE</w:t>
      </w:r>
    </w:p>
    <w:p w:rsidR="003E3651" w:rsidRDefault="003E3651" w:rsidP="003E3651">
      <w:pPr>
        <w:widowControl w:val="0"/>
        <w:suppressAutoHyphens/>
        <w:overflowPunct w:val="0"/>
        <w:autoSpaceDE w:val="0"/>
        <w:snapToGrid w:val="0"/>
        <w:spacing w:before="120" w:after="120"/>
        <w:ind w:right="-5727"/>
        <w:jc w:val="both"/>
      </w:pPr>
      <w:r>
        <w:rPr>
          <w:rFonts w:eastAsia="Arial Unicode MS" w:cs="Times New Roman"/>
          <w:b/>
          <w:sz w:val="16"/>
          <w:szCs w:val="16"/>
          <w:lang w:eastAsia="ar-SA"/>
        </w:rPr>
        <w:t>10.1. Instrukcje wydane przez producenta</w:t>
      </w: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E3651" w:rsidRDefault="003E3651" w:rsidP="003E3651">
      <w:pPr>
        <w:widowControl w:val="0"/>
        <w:tabs>
          <w:tab w:val="left" w:pos="283"/>
          <w:tab w:val="left" w:pos="540"/>
        </w:tabs>
        <w:suppressAutoHyphens/>
        <w:overflowPunct w:val="0"/>
        <w:autoSpaceDE w:val="0"/>
        <w:jc w:val="center"/>
        <w:rPr>
          <w:rFonts w:eastAsia="Calibri" w:cs="Times New Roman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eastAsia="ar-SA"/>
        </w:rPr>
        <w:t>„DAN – TOR” Iława</w:t>
      </w:r>
    </w:p>
    <w:p w:rsidR="003E3651" w:rsidRDefault="003E3651" w:rsidP="003E3651">
      <w:pPr>
        <w:pStyle w:val="Akapitzlist"/>
        <w:rPr>
          <w:i/>
          <w:sz w:val="18"/>
          <w:szCs w:val="18"/>
        </w:rPr>
      </w:pPr>
    </w:p>
    <w:p w:rsidR="00305DB5" w:rsidRDefault="00305DB5">
      <w:bookmarkStart w:id="0" w:name="_GoBack"/>
      <w:bookmarkEnd w:id="0"/>
    </w:p>
    <w:sectPr w:rsidR="0030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5"/>
    <w:multiLevelType w:val="multi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51"/>
    <w:rsid w:val="00305DB5"/>
    <w:rsid w:val="003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51"/>
    <w:pPr>
      <w:spacing w:after="0" w:line="24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3E3651"/>
    <w:pPr>
      <w:keepNext/>
      <w:suppressAutoHyphens/>
      <w:spacing w:before="240" w:after="60"/>
      <w:outlineLvl w:val="0"/>
    </w:pPr>
    <w:rPr>
      <w:rFonts w:eastAsia="Times New Roman" w:cs="Times New Roman"/>
      <w:b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651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E3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51"/>
    <w:pPr>
      <w:spacing w:after="0" w:line="24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3E3651"/>
    <w:pPr>
      <w:keepNext/>
      <w:suppressAutoHyphens/>
      <w:spacing w:before="240" w:after="60"/>
      <w:outlineLvl w:val="0"/>
    </w:pPr>
    <w:rPr>
      <w:rFonts w:eastAsia="Times New Roman" w:cs="Times New Roman"/>
      <w:b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651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E3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1988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2018-02-26T13:26:00Z</dcterms:created>
  <dcterms:modified xsi:type="dcterms:W3CDTF">2018-02-26T13:30:00Z</dcterms:modified>
</cp:coreProperties>
</file>