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-354601"/>
        <w:docPartObj>
          <w:docPartGallery w:val="Table of Contents"/>
          <w:docPartUnique/>
        </w:docPartObj>
      </w:sdtPr>
      <w:sdtContent>
        <w:p w14:paraId="2CF3EB86" w14:textId="77777777" w:rsidR="00D83604" w:rsidRPr="00E97EB4" w:rsidRDefault="00D83604" w:rsidP="00D83604">
          <w:pPr>
            <w:pStyle w:val="Nagwekspisutreci"/>
            <w:jc w:val="center"/>
            <w:rPr>
              <w:rFonts w:ascii="Arial" w:hAnsi="Arial" w:cs="Arial"/>
              <w:sz w:val="28"/>
              <w:szCs w:val="28"/>
            </w:rPr>
          </w:pPr>
          <w:r w:rsidRPr="00E97EB4">
            <w:rPr>
              <w:rFonts w:ascii="Arial" w:hAnsi="Arial" w:cs="Arial"/>
              <w:sz w:val="28"/>
              <w:szCs w:val="28"/>
            </w:rPr>
            <w:t>Spis treści</w:t>
          </w:r>
        </w:p>
        <w:p w14:paraId="63D22896" w14:textId="77777777" w:rsidR="008748B6" w:rsidRPr="008748B6" w:rsidRDefault="008748B6" w:rsidP="008748B6"/>
        <w:p w14:paraId="249F4F9E" w14:textId="1A235605" w:rsidR="00D83604" w:rsidRPr="00E97EB4" w:rsidRDefault="00D83604" w:rsidP="00D83604">
          <w:pPr>
            <w:pStyle w:val="Spistreci1"/>
            <w:numPr>
              <w:ilvl w:val="0"/>
              <w:numId w:val="2"/>
            </w:numPr>
            <w:rPr>
              <w:rFonts w:ascii="Arial" w:hAnsi="Arial" w:cs="Arial"/>
              <w:sz w:val="22"/>
              <w:szCs w:val="22"/>
            </w:rPr>
          </w:pPr>
          <w:r w:rsidRPr="00E97EB4">
            <w:rPr>
              <w:rFonts w:ascii="Arial" w:hAnsi="Arial" w:cs="Arial"/>
              <w:sz w:val="22"/>
              <w:szCs w:val="22"/>
            </w:rPr>
            <w:t>Wstęp</w:t>
          </w:r>
          <w:r w:rsidRPr="00E97EB4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AB7335" w:rsidRPr="00E97EB4">
            <w:rPr>
              <w:rFonts w:ascii="Arial" w:hAnsi="Arial" w:cs="Arial"/>
              <w:sz w:val="22"/>
              <w:szCs w:val="22"/>
            </w:rPr>
            <w:t>2</w:t>
          </w:r>
        </w:p>
        <w:p w14:paraId="0EBE355F" w14:textId="77777777" w:rsidR="00D83604" w:rsidRPr="00E97EB4" w:rsidRDefault="00D83604" w:rsidP="00D83604">
          <w:pPr>
            <w:pStyle w:val="Akapitzlist"/>
            <w:numPr>
              <w:ilvl w:val="0"/>
              <w:numId w:val="2"/>
            </w:num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E97EB4">
            <w:rPr>
              <w:rFonts w:ascii="Arial" w:hAnsi="Arial" w:cs="Arial"/>
              <w:sz w:val="22"/>
              <w:szCs w:val="22"/>
            </w:rPr>
            <w:t xml:space="preserve">Analiza sytuacji ekonomiczno-finansowej za poprzedni rok obrotowy dokonana  na podstawie wskaźników ekonomiczno-finansowych w oparciu o dane ze </w:t>
          </w:r>
          <w:r w:rsidRPr="00E97EB4">
            <w:rPr>
              <w:rFonts w:ascii="Arial" w:hAnsi="Arial" w:cs="Arial"/>
              <w:kern w:val="24"/>
              <w:sz w:val="22"/>
              <w:szCs w:val="22"/>
            </w:rPr>
            <w:t xml:space="preserve"> </w:t>
          </w:r>
          <w:r w:rsidRPr="00E97EB4">
            <w:rPr>
              <w:rFonts w:ascii="Arial" w:hAnsi="Arial" w:cs="Arial"/>
              <w:sz w:val="22"/>
              <w:szCs w:val="22"/>
            </w:rPr>
            <w:t xml:space="preserve">sprawozdania finansowego za rok 2022 </w:t>
          </w:r>
          <w:r w:rsidRPr="00E97EB4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Pr="00E97EB4">
            <w:rPr>
              <w:rFonts w:ascii="Arial" w:hAnsi="Arial" w:cs="Arial"/>
              <w:bCs/>
              <w:sz w:val="22"/>
              <w:szCs w:val="22"/>
            </w:rPr>
            <w:t>4</w:t>
          </w:r>
        </w:p>
        <w:p w14:paraId="3212303D" w14:textId="47819DF4" w:rsidR="00D83604" w:rsidRPr="00E97EB4" w:rsidRDefault="00D83604" w:rsidP="00D83604">
          <w:pPr>
            <w:pStyle w:val="Akapitzlist"/>
            <w:numPr>
              <w:ilvl w:val="0"/>
              <w:numId w:val="2"/>
            </w:numPr>
            <w:spacing w:line="360" w:lineRule="auto"/>
            <w:rPr>
              <w:rFonts w:ascii="Arial" w:hAnsi="Arial" w:cs="Arial"/>
              <w:bCs/>
              <w:sz w:val="22"/>
              <w:szCs w:val="22"/>
            </w:rPr>
          </w:pPr>
          <w:r w:rsidRPr="00E97EB4">
            <w:rPr>
              <w:rFonts w:ascii="Arial" w:hAnsi="Arial" w:cs="Arial"/>
              <w:bCs/>
              <w:sz w:val="22"/>
              <w:szCs w:val="22"/>
            </w:rPr>
            <w:t>Działania naprawcze i ich wpływ na sytuację ekonomiczno-finansową s</w:t>
          </w:r>
          <w:r w:rsidR="00AB7335" w:rsidRPr="00E97EB4">
            <w:rPr>
              <w:rFonts w:ascii="Arial" w:hAnsi="Arial" w:cs="Arial"/>
              <w:bCs/>
              <w:sz w:val="22"/>
              <w:szCs w:val="22"/>
            </w:rPr>
            <w:t>zpitala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 xml:space="preserve"> w okresie od 1 </w:t>
          </w:r>
          <w:r w:rsidR="00043C1D" w:rsidRPr="00E97EB4">
            <w:rPr>
              <w:rFonts w:ascii="Arial" w:hAnsi="Arial" w:cs="Arial"/>
              <w:bCs/>
              <w:sz w:val="22"/>
              <w:szCs w:val="22"/>
            </w:rPr>
            <w:t>stycznia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 xml:space="preserve"> 20</w:t>
          </w:r>
          <w:r w:rsidR="00043C1D" w:rsidRPr="00E97EB4">
            <w:rPr>
              <w:rFonts w:ascii="Arial" w:hAnsi="Arial" w:cs="Arial"/>
              <w:bCs/>
              <w:sz w:val="22"/>
              <w:szCs w:val="22"/>
            </w:rPr>
            <w:t xml:space="preserve">23 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>r. do 31 grudnia 20</w:t>
          </w:r>
          <w:r w:rsidR="00043C1D" w:rsidRPr="00E97EB4">
            <w:rPr>
              <w:rFonts w:ascii="Arial" w:hAnsi="Arial" w:cs="Arial"/>
              <w:bCs/>
              <w:sz w:val="22"/>
              <w:szCs w:val="22"/>
            </w:rPr>
            <w:t>23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>r…</w:t>
          </w:r>
          <w:r w:rsidR="00E97EB4" w:rsidRPr="00E97EB4">
            <w:rPr>
              <w:rFonts w:ascii="Arial" w:hAnsi="Arial" w:cs="Arial"/>
              <w:bCs/>
              <w:sz w:val="22"/>
              <w:szCs w:val="22"/>
            </w:rPr>
            <w:t>.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>……………</w:t>
          </w:r>
          <w:r w:rsidR="00AB7335" w:rsidRPr="00E97EB4">
            <w:rPr>
              <w:rFonts w:ascii="Arial" w:hAnsi="Arial" w:cs="Arial"/>
              <w:bCs/>
              <w:sz w:val="22"/>
              <w:szCs w:val="22"/>
            </w:rPr>
            <w:t>…………</w:t>
          </w:r>
          <w:r w:rsidR="00E97EB4">
            <w:rPr>
              <w:rFonts w:ascii="Arial" w:hAnsi="Arial" w:cs="Arial"/>
              <w:bCs/>
              <w:sz w:val="22"/>
              <w:szCs w:val="22"/>
            </w:rPr>
            <w:t>………….</w:t>
          </w:r>
          <w:r w:rsidR="00AB7335" w:rsidRPr="00E97EB4">
            <w:rPr>
              <w:rFonts w:ascii="Arial" w:hAnsi="Arial" w:cs="Arial"/>
              <w:bCs/>
              <w:sz w:val="22"/>
              <w:szCs w:val="22"/>
            </w:rPr>
            <w:t>..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>.</w:t>
          </w:r>
          <w:r w:rsidR="00C55EC9" w:rsidRPr="00E97EB4">
            <w:rPr>
              <w:rFonts w:ascii="Arial" w:hAnsi="Arial" w:cs="Arial"/>
              <w:bCs/>
              <w:sz w:val="22"/>
              <w:szCs w:val="22"/>
            </w:rPr>
            <w:t>6</w:t>
          </w:r>
        </w:p>
        <w:p w14:paraId="434AA99D" w14:textId="0425660F" w:rsidR="00D83604" w:rsidRPr="00E97EB4" w:rsidRDefault="00D83604" w:rsidP="00737563">
          <w:pPr>
            <w:pStyle w:val="AMG"/>
            <w:numPr>
              <w:ilvl w:val="0"/>
              <w:numId w:val="3"/>
            </w:numPr>
            <w:rPr>
              <w:rFonts w:ascii="Arial" w:hAnsi="Arial" w:cs="Arial"/>
              <w:bCs/>
              <w:sz w:val="22"/>
              <w:szCs w:val="22"/>
              <w:lang w:eastAsia="pl-PL"/>
            </w:rPr>
          </w:pPr>
          <w:bookmarkStart w:id="0" w:name="_Hlk146705979"/>
          <w:r w:rsidRPr="00E97EB4">
            <w:rPr>
              <w:rFonts w:ascii="Arial" w:eastAsia="Arial Unicode MS" w:hAnsi="Arial" w:cs="Arial"/>
              <w:bCs/>
              <w:sz w:val="22"/>
              <w:szCs w:val="22"/>
              <w:lang w:eastAsia="pl-PL"/>
            </w:rPr>
            <w:t xml:space="preserve">Działanie 1.1. </w:t>
          </w:r>
          <w:bookmarkStart w:id="1" w:name="_Hlk146705082"/>
          <w:bookmarkEnd w:id="0"/>
          <w:r w:rsidR="00522E16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Zwiększenie przychodów wskutek usprawnienia działania A</w:t>
          </w:r>
          <w:bookmarkEnd w:id="1"/>
          <w:r w:rsidR="00AB7335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mbulatoryjnej Opieki Specjalistycznej……………………..</w:t>
          </w:r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……</w:t>
          </w:r>
          <w:r w:rsidR="00E97EB4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</w:t>
          </w:r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…………</w:t>
          </w:r>
          <w:r w:rsid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………</w:t>
          </w:r>
          <w:r w:rsidR="00C55EC9" w:rsidRPr="00E97EB4">
            <w:rPr>
              <w:rFonts w:ascii="Arial" w:hAnsi="Arial" w:cs="Arial"/>
              <w:bCs/>
              <w:sz w:val="22"/>
              <w:szCs w:val="22"/>
            </w:rPr>
            <w:t>6</w:t>
          </w:r>
        </w:p>
        <w:p w14:paraId="2259B697" w14:textId="3C3CB96E" w:rsidR="00D83604" w:rsidRPr="00E97EB4" w:rsidRDefault="00D83604" w:rsidP="00D83604">
          <w:pPr>
            <w:pStyle w:val="AMG"/>
            <w:numPr>
              <w:ilvl w:val="0"/>
              <w:numId w:val="3"/>
            </w:numPr>
            <w:rPr>
              <w:rFonts w:ascii="Arial" w:hAnsi="Arial" w:cs="Arial"/>
              <w:bCs/>
              <w:sz w:val="22"/>
              <w:szCs w:val="22"/>
              <w:lang w:eastAsia="pl-PL"/>
            </w:rPr>
          </w:pPr>
          <w:bookmarkStart w:id="2" w:name="_Hlk146707284"/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 xml:space="preserve">Działanie </w:t>
          </w:r>
          <w:r w:rsidR="00737563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2</w:t>
          </w:r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.1. Podwyższenie kwoty przychodów w następnych okresach rozliczeniowych</w:t>
          </w:r>
          <w:bookmarkEnd w:id="2"/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………………………………………………………………</w:t>
          </w:r>
          <w:r w:rsidR="00E97EB4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.</w:t>
          </w:r>
          <w:r w:rsidR="00737563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</w:t>
          </w:r>
          <w:r w:rsid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………</w:t>
          </w:r>
          <w:r w:rsidR="00737563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.8</w:t>
          </w:r>
        </w:p>
        <w:p w14:paraId="317EEE81" w14:textId="08C87573" w:rsidR="00913849" w:rsidRPr="00E97EB4" w:rsidRDefault="00913849" w:rsidP="00520D5E">
          <w:pPr>
            <w:pStyle w:val="AMG"/>
            <w:numPr>
              <w:ilvl w:val="0"/>
              <w:numId w:val="3"/>
            </w:numPr>
            <w:rPr>
              <w:rFonts w:ascii="Arial" w:hAnsi="Arial" w:cs="Arial"/>
              <w:bCs/>
              <w:sz w:val="22"/>
              <w:szCs w:val="22"/>
              <w:lang w:eastAsia="pl-PL"/>
            </w:rPr>
          </w:pPr>
          <w:bookmarkStart w:id="3" w:name="_Hlk146871578"/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Planowane efekty wdrożenia programu</w:t>
          </w:r>
          <w:r w:rsidR="00520D5E"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 xml:space="preserve"> </w:t>
          </w:r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naprawczego</w:t>
          </w:r>
          <w:bookmarkEnd w:id="3"/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……………………</w:t>
          </w:r>
          <w:r w:rsidR="00E97EB4">
            <w:rPr>
              <w:rFonts w:ascii="Arial" w:hAnsi="Arial" w:cs="Arial"/>
              <w:bCs/>
              <w:sz w:val="22"/>
              <w:szCs w:val="22"/>
              <w:lang w:eastAsia="pl-PL"/>
            </w:rPr>
            <w:t>…………</w:t>
          </w:r>
          <w:r w:rsidRPr="00E97EB4">
            <w:rPr>
              <w:rFonts w:ascii="Arial" w:hAnsi="Arial" w:cs="Arial"/>
              <w:bCs/>
              <w:sz w:val="22"/>
              <w:szCs w:val="22"/>
              <w:lang w:eastAsia="pl-PL"/>
            </w:rPr>
            <w:t>9</w:t>
          </w:r>
        </w:p>
        <w:p w14:paraId="376AE80E" w14:textId="73FE32D3" w:rsidR="00D83604" w:rsidRPr="00E97EB4" w:rsidRDefault="00D83604" w:rsidP="00D83604">
          <w:pPr>
            <w:pStyle w:val="AMG"/>
            <w:numPr>
              <w:ilvl w:val="0"/>
              <w:numId w:val="2"/>
            </w:numPr>
            <w:rPr>
              <w:rFonts w:ascii="Arial" w:hAnsi="Arial" w:cs="Arial"/>
              <w:bCs/>
              <w:sz w:val="22"/>
              <w:szCs w:val="22"/>
              <w:lang w:eastAsia="pl-PL"/>
            </w:rPr>
          </w:pPr>
          <w:bookmarkStart w:id="4" w:name="_Hlk146871720"/>
          <w:r w:rsidRPr="00E97EB4">
            <w:rPr>
              <w:rFonts w:ascii="Arial" w:hAnsi="Arial" w:cs="Arial"/>
              <w:bCs/>
              <w:sz w:val="22"/>
              <w:szCs w:val="22"/>
            </w:rPr>
            <w:t>Prognoza sytuacji ekonomiczno-finansowej na podstawie wskaźników ekonomiczno-finansowych (raport o sytuacji ekonomiczno-finansowej samodzielnego publicznego zakładu opieki zdrowotnej) z uwzględnieniem skutków działań naprawczych wynikających z programu naprawczego wdrażan</w:t>
          </w:r>
          <w:r w:rsidR="00520D5E" w:rsidRPr="00E97EB4">
            <w:rPr>
              <w:rFonts w:ascii="Arial" w:hAnsi="Arial" w:cs="Arial"/>
              <w:bCs/>
              <w:sz w:val="22"/>
              <w:szCs w:val="22"/>
            </w:rPr>
            <w:t>ego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 xml:space="preserve"> w </w:t>
          </w:r>
          <w:r w:rsidR="00520D5E" w:rsidRPr="00E97EB4">
            <w:rPr>
              <w:rFonts w:ascii="Arial" w:hAnsi="Arial" w:cs="Arial"/>
              <w:bCs/>
              <w:sz w:val="22"/>
              <w:szCs w:val="22"/>
            </w:rPr>
            <w:t>roku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 xml:space="preserve"> 20</w:t>
          </w:r>
          <w:r w:rsidR="008378CF" w:rsidRPr="00E97EB4">
            <w:rPr>
              <w:rFonts w:ascii="Arial" w:hAnsi="Arial" w:cs="Arial"/>
              <w:bCs/>
              <w:sz w:val="22"/>
              <w:szCs w:val="22"/>
            </w:rPr>
            <w:t>2</w:t>
          </w:r>
          <w:r w:rsidR="00520D5E" w:rsidRPr="00E97EB4">
            <w:rPr>
              <w:rFonts w:ascii="Arial" w:hAnsi="Arial" w:cs="Arial"/>
              <w:bCs/>
              <w:sz w:val="22"/>
              <w:szCs w:val="22"/>
            </w:rPr>
            <w:t>3</w:t>
          </w:r>
          <w:r w:rsidR="00C55EC9" w:rsidRPr="00E97EB4">
            <w:rPr>
              <w:rFonts w:ascii="Arial" w:hAnsi="Arial" w:cs="Arial"/>
              <w:bCs/>
              <w:sz w:val="22"/>
              <w:szCs w:val="22"/>
            </w:rPr>
            <w:t>……………………………………………</w:t>
          </w:r>
          <w:r w:rsidR="00E97EB4" w:rsidRPr="00E97EB4">
            <w:rPr>
              <w:rFonts w:ascii="Arial" w:hAnsi="Arial" w:cs="Arial"/>
              <w:bCs/>
              <w:sz w:val="22"/>
              <w:szCs w:val="22"/>
            </w:rPr>
            <w:t>…</w:t>
          </w:r>
          <w:r w:rsidR="00C55EC9" w:rsidRPr="00E97EB4">
            <w:rPr>
              <w:rFonts w:ascii="Arial" w:hAnsi="Arial" w:cs="Arial"/>
              <w:bCs/>
              <w:sz w:val="22"/>
              <w:szCs w:val="22"/>
            </w:rPr>
            <w:t>……………</w:t>
          </w:r>
          <w:r w:rsidR="00E97EB4">
            <w:rPr>
              <w:rFonts w:ascii="Arial" w:hAnsi="Arial" w:cs="Arial"/>
              <w:bCs/>
              <w:sz w:val="22"/>
              <w:szCs w:val="22"/>
            </w:rPr>
            <w:t>……………………………..</w:t>
          </w:r>
          <w:r w:rsidR="00C55EC9" w:rsidRPr="00E97EB4">
            <w:rPr>
              <w:rFonts w:ascii="Arial" w:hAnsi="Arial" w:cs="Arial"/>
              <w:bCs/>
              <w:sz w:val="22"/>
              <w:szCs w:val="22"/>
            </w:rPr>
            <w:t xml:space="preserve">9  </w:t>
          </w:r>
        </w:p>
        <w:p w14:paraId="59046A44" w14:textId="5191B814" w:rsidR="001E0011" w:rsidRPr="00E97EB4" w:rsidRDefault="001E0011" w:rsidP="00D83604">
          <w:pPr>
            <w:pStyle w:val="AMG"/>
            <w:numPr>
              <w:ilvl w:val="0"/>
              <w:numId w:val="2"/>
            </w:numPr>
            <w:rPr>
              <w:rFonts w:ascii="Arial" w:hAnsi="Arial" w:cs="Arial"/>
              <w:bCs/>
              <w:sz w:val="22"/>
              <w:szCs w:val="22"/>
              <w:lang w:eastAsia="pl-PL"/>
            </w:rPr>
          </w:pPr>
          <w:r w:rsidRPr="00E97EB4">
            <w:rPr>
              <w:rFonts w:ascii="Arial" w:hAnsi="Arial" w:cs="Arial"/>
              <w:bCs/>
              <w:sz w:val="22"/>
              <w:szCs w:val="22"/>
            </w:rPr>
            <w:t>Podsumowanie…………………………………………………………………</w:t>
          </w:r>
          <w:r w:rsidR="00E97EB4" w:rsidRPr="00E97EB4">
            <w:rPr>
              <w:rFonts w:ascii="Arial" w:hAnsi="Arial" w:cs="Arial"/>
              <w:bCs/>
              <w:sz w:val="22"/>
              <w:szCs w:val="22"/>
            </w:rPr>
            <w:t>...</w:t>
          </w:r>
          <w:r w:rsidRPr="00E97EB4">
            <w:rPr>
              <w:rFonts w:ascii="Arial" w:hAnsi="Arial" w:cs="Arial"/>
              <w:bCs/>
              <w:sz w:val="22"/>
              <w:szCs w:val="22"/>
            </w:rPr>
            <w:t>…</w:t>
          </w:r>
          <w:r w:rsidR="00E97EB4">
            <w:rPr>
              <w:rFonts w:ascii="Arial" w:hAnsi="Arial" w:cs="Arial"/>
              <w:bCs/>
              <w:sz w:val="22"/>
              <w:szCs w:val="22"/>
            </w:rPr>
            <w:t>……..</w:t>
          </w:r>
          <w:r w:rsidR="00C55EC9" w:rsidRPr="00E97EB4">
            <w:rPr>
              <w:rFonts w:ascii="Arial" w:hAnsi="Arial" w:cs="Arial"/>
              <w:bCs/>
              <w:sz w:val="22"/>
              <w:szCs w:val="22"/>
            </w:rPr>
            <w:t>11</w:t>
          </w:r>
        </w:p>
        <w:bookmarkEnd w:id="4"/>
        <w:p w14:paraId="1B552F9D" w14:textId="77777777" w:rsidR="00D83604" w:rsidRPr="00E97EB4" w:rsidRDefault="00D83604" w:rsidP="00D83604">
          <w:pPr>
            <w:pStyle w:val="AMG"/>
            <w:ind w:firstLine="0"/>
            <w:rPr>
              <w:rFonts w:ascii="Arial" w:hAnsi="Arial" w:cs="Arial"/>
              <w:b/>
              <w:bCs/>
              <w:sz w:val="22"/>
              <w:szCs w:val="22"/>
              <w:lang w:eastAsia="pl-PL"/>
            </w:rPr>
          </w:pPr>
        </w:p>
        <w:p w14:paraId="2E105B4D" w14:textId="77777777" w:rsidR="00D83604" w:rsidRDefault="00D83604" w:rsidP="00D83604">
          <w:pPr>
            <w:pStyle w:val="AMG"/>
            <w:ind w:left="426" w:firstLine="0"/>
            <w:rPr>
              <w:rFonts w:ascii="Arial" w:hAnsi="Arial" w:cs="Arial"/>
              <w:b/>
              <w:bCs/>
              <w:lang w:eastAsia="pl-PL"/>
            </w:rPr>
          </w:pPr>
        </w:p>
        <w:p w14:paraId="448B5477" w14:textId="77777777" w:rsidR="00D83604" w:rsidRPr="00ED441A" w:rsidRDefault="00D83604" w:rsidP="00D83604">
          <w:pPr>
            <w:pStyle w:val="AMG"/>
            <w:ind w:left="426" w:firstLine="0"/>
            <w:rPr>
              <w:rFonts w:ascii="Arial" w:hAnsi="Arial" w:cs="Arial"/>
              <w:b/>
              <w:bCs/>
              <w:lang w:eastAsia="pl-PL"/>
            </w:rPr>
          </w:pPr>
        </w:p>
        <w:p w14:paraId="30343B9D" w14:textId="77777777" w:rsidR="00D83604" w:rsidRPr="00ED441A" w:rsidRDefault="00000000" w:rsidP="00D83604">
          <w:pPr>
            <w:rPr>
              <w:lang w:eastAsia="pl-PL"/>
            </w:rPr>
          </w:pPr>
        </w:p>
      </w:sdtContent>
    </w:sdt>
    <w:p w14:paraId="03E5379F" w14:textId="4EE9FDCF" w:rsidR="00C51EC0" w:rsidRPr="00AB5D5B" w:rsidRDefault="00C51EC0" w:rsidP="00C51EC0">
      <w:pPr>
        <w:pStyle w:val="Nagwek1"/>
        <w:rPr>
          <w:b w:val="0"/>
        </w:rPr>
      </w:pPr>
    </w:p>
    <w:p w14:paraId="1D4A9542" w14:textId="355B1FF1" w:rsidR="00C51EC0" w:rsidRDefault="00C51EC0" w:rsidP="00C51EC0">
      <w:pPr>
        <w:pStyle w:val="Nagwek1"/>
        <w:jc w:val="center"/>
        <w:rPr>
          <w:b w:val="0"/>
        </w:rPr>
      </w:pPr>
    </w:p>
    <w:p w14:paraId="2962C6E1" w14:textId="77777777" w:rsidR="006516A1" w:rsidRDefault="006516A1" w:rsidP="006516A1"/>
    <w:p w14:paraId="08328F3F" w14:textId="77777777" w:rsidR="006516A1" w:rsidRDefault="006516A1" w:rsidP="006516A1"/>
    <w:p w14:paraId="2D98556B" w14:textId="77777777" w:rsidR="006516A1" w:rsidRDefault="006516A1" w:rsidP="006516A1"/>
    <w:p w14:paraId="6AF2E148" w14:textId="77777777" w:rsidR="006516A1" w:rsidRDefault="006516A1" w:rsidP="006516A1"/>
    <w:p w14:paraId="1ECD7150" w14:textId="77777777" w:rsidR="006516A1" w:rsidRDefault="006516A1" w:rsidP="006516A1"/>
    <w:p w14:paraId="48A957A9" w14:textId="77777777" w:rsidR="006516A1" w:rsidRDefault="006516A1" w:rsidP="006516A1"/>
    <w:p w14:paraId="5C8889E9" w14:textId="77777777" w:rsidR="00913849" w:rsidRDefault="00913849" w:rsidP="006516A1"/>
    <w:p w14:paraId="34DC6CDE" w14:textId="77777777" w:rsidR="00E97EB4" w:rsidRDefault="00E97EB4" w:rsidP="006516A1"/>
    <w:p w14:paraId="3DF88B13" w14:textId="77777777" w:rsidR="00913849" w:rsidRDefault="00913849" w:rsidP="006516A1"/>
    <w:p w14:paraId="1DBB7881" w14:textId="77777777" w:rsidR="006516A1" w:rsidRDefault="006516A1" w:rsidP="006516A1"/>
    <w:p w14:paraId="03958327" w14:textId="3CBF978C" w:rsidR="006516A1" w:rsidRPr="00E97EB4" w:rsidRDefault="006516A1" w:rsidP="006516A1">
      <w:pPr>
        <w:pStyle w:val="Nagwek1"/>
        <w:rPr>
          <w:rFonts w:ascii="Arial" w:hAnsi="Arial" w:cs="Arial"/>
          <w:sz w:val="28"/>
          <w:szCs w:val="28"/>
        </w:rPr>
      </w:pPr>
      <w:r w:rsidRPr="00E97EB4">
        <w:rPr>
          <w:rFonts w:ascii="Arial" w:hAnsi="Arial" w:cs="Arial"/>
          <w:sz w:val="28"/>
          <w:szCs w:val="28"/>
        </w:rPr>
        <w:lastRenderedPageBreak/>
        <w:t>Wstęp</w:t>
      </w:r>
    </w:p>
    <w:p w14:paraId="388B8819" w14:textId="77777777" w:rsidR="006516A1" w:rsidRDefault="006516A1" w:rsidP="006516A1"/>
    <w:p w14:paraId="4475EC2C" w14:textId="01A7E033" w:rsidR="006516A1" w:rsidRPr="00E97EB4" w:rsidRDefault="006516A1" w:rsidP="006516A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97EB4">
        <w:rPr>
          <w:rFonts w:ascii="Arial" w:hAnsi="Arial" w:cs="Arial"/>
          <w:sz w:val="22"/>
          <w:szCs w:val="22"/>
          <w:u w:val="single"/>
        </w:rPr>
        <w:t>Program naprawczy obejmuje:</w:t>
      </w:r>
    </w:p>
    <w:p w14:paraId="5242C076" w14:textId="5511FACB" w:rsidR="006516A1" w:rsidRPr="00E97EB4" w:rsidRDefault="006516A1" w:rsidP="006516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97EB4">
        <w:rPr>
          <w:rFonts w:ascii="Arial" w:hAnsi="Arial" w:cs="Arial"/>
          <w:sz w:val="22"/>
          <w:szCs w:val="22"/>
        </w:rPr>
        <w:t xml:space="preserve">Analizę sytuacji ekonomiczno-finansowej za poprzedni rok obrotowy dokonaną na  podstawie wskaźników ekonomiczno-finansowych w oparciu o dane ze </w:t>
      </w:r>
      <w:r w:rsidRPr="00E97EB4">
        <w:rPr>
          <w:rFonts w:ascii="Arial" w:hAnsi="Arial" w:cs="Arial"/>
          <w:kern w:val="24"/>
          <w:sz w:val="22"/>
          <w:szCs w:val="22"/>
        </w:rPr>
        <w:t xml:space="preserve"> </w:t>
      </w:r>
      <w:r w:rsidRPr="00E97EB4">
        <w:rPr>
          <w:rFonts w:ascii="Arial" w:hAnsi="Arial" w:cs="Arial"/>
          <w:sz w:val="22"/>
          <w:szCs w:val="22"/>
        </w:rPr>
        <w:t>sprawozdania finansowego za rok 2022,</w:t>
      </w:r>
    </w:p>
    <w:p w14:paraId="00383F98" w14:textId="3A571C93" w:rsidR="006516A1" w:rsidRPr="00E97EB4" w:rsidRDefault="006516A1" w:rsidP="009A6F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97EB4">
        <w:rPr>
          <w:rFonts w:ascii="Arial" w:hAnsi="Arial" w:cs="Arial"/>
          <w:sz w:val="22"/>
          <w:szCs w:val="22"/>
        </w:rPr>
        <w:t xml:space="preserve">Działania naprawcze i ich wpływ na sytuację ekonomiczno- finansową Szpitala w okresie od </w:t>
      </w:r>
      <w:r w:rsidR="009A6F0C" w:rsidRPr="00E97EB4">
        <w:rPr>
          <w:rFonts w:ascii="Arial" w:hAnsi="Arial" w:cs="Arial"/>
          <w:sz w:val="22"/>
          <w:szCs w:val="22"/>
        </w:rPr>
        <w:t>1 stycznia 202</w:t>
      </w:r>
      <w:r w:rsidR="00804BAF" w:rsidRPr="00E97EB4">
        <w:rPr>
          <w:rFonts w:ascii="Arial" w:hAnsi="Arial" w:cs="Arial"/>
          <w:sz w:val="22"/>
          <w:szCs w:val="22"/>
        </w:rPr>
        <w:t>3</w:t>
      </w:r>
      <w:r w:rsidR="009A6F0C" w:rsidRPr="00E97EB4">
        <w:rPr>
          <w:rFonts w:ascii="Arial" w:hAnsi="Arial" w:cs="Arial"/>
          <w:sz w:val="22"/>
          <w:szCs w:val="22"/>
        </w:rPr>
        <w:t xml:space="preserve"> roku do 31 grudnia 202</w:t>
      </w:r>
      <w:r w:rsidR="00804BAF" w:rsidRPr="00E97EB4">
        <w:rPr>
          <w:rFonts w:ascii="Arial" w:hAnsi="Arial" w:cs="Arial"/>
          <w:sz w:val="22"/>
          <w:szCs w:val="22"/>
        </w:rPr>
        <w:t>3</w:t>
      </w:r>
      <w:r w:rsidR="009A6F0C" w:rsidRPr="00E97EB4">
        <w:rPr>
          <w:rFonts w:ascii="Arial" w:hAnsi="Arial" w:cs="Arial"/>
          <w:sz w:val="22"/>
          <w:szCs w:val="22"/>
        </w:rPr>
        <w:t xml:space="preserve"> roku,</w:t>
      </w:r>
    </w:p>
    <w:p w14:paraId="436A13A7" w14:textId="24CBC59F" w:rsidR="009A6F0C" w:rsidRPr="00E97EB4" w:rsidRDefault="009A6F0C" w:rsidP="009A6F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97EB4">
        <w:rPr>
          <w:rFonts w:ascii="Arial" w:hAnsi="Arial" w:cs="Arial"/>
          <w:sz w:val="22"/>
          <w:szCs w:val="22"/>
        </w:rPr>
        <w:t>Prognozę sytuacji ekonomiczno-finansowej na podstawie wskaźników ekonomiczno-finansowych (raport o sytuacji ekonomiczno-finansowej samodzielnego publicznego zakładu opieki zdrowotnej) z uwzględnieniem skutków działań naprawczych wynikających z programu naprawczego wdrażanego w roku 2023.</w:t>
      </w:r>
    </w:p>
    <w:p w14:paraId="0640A7FF" w14:textId="77777777" w:rsidR="009A6F0C" w:rsidRPr="00E97EB4" w:rsidRDefault="009A6F0C" w:rsidP="009A6F0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5BF6936" w14:textId="21F0AF9A" w:rsidR="009A6F0C" w:rsidRPr="00E97EB4" w:rsidRDefault="009A6F0C" w:rsidP="003E17F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 xml:space="preserve">Analiza sytuacji ekonomiczno-finansowej za rok 2022 a także prognoza na rok 2023 sporządzona jest w oparciu o wskaźniki </w:t>
      </w:r>
      <w:r w:rsidR="00804BAF" w:rsidRPr="00E97EB4">
        <w:rPr>
          <w:rFonts w:ascii="Arial" w:hAnsi="Arial" w:cs="Arial"/>
          <w:sz w:val="22"/>
          <w:szCs w:val="22"/>
        </w:rPr>
        <w:t>ekonomiczno-finansowe określone w rozporządzeniu wykonawczym do art. 53 a ust. 5 ustawy z dnia  15 kwietnia 2011 r. o działalności leczniczej (tekst jednolity Dz.U. z 2023 r. poz. 991). Minister Zdrowia w porozumieniu z Ministrem Finansów, określił w drodze rozporządzenia wskaźniki ekonomiczno-finansowe, które jednolicie określają wskaźniki samodzielnych publicznych zakładów opieki zdrowotnej oraz pozwalają na porównanie tych wskaźników.</w:t>
      </w:r>
    </w:p>
    <w:p w14:paraId="5A028478" w14:textId="013523A4" w:rsidR="00804BAF" w:rsidRPr="00E97EB4" w:rsidRDefault="00804BAF" w:rsidP="003E17F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 xml:space="preserve">Powiatowy Szpital im. Władysława Biegańskiego z siedzibą w Iławie, ul. Gen. Władysława Andersa 3  </w:t>
      </w:r>
      <w:r w:rsidR="003E17FA" w:rsidRPr="00E97EB4">
        <w:rPr>
          <w:rFonts w:ascii="Arial" w:hAnsi="Arial" w:cs="Arial"/>
          <w:sz w:val="22"/>
          <w:szCs w:val="22"/>
        </w:rPr>
        <w:t>jest</w:t>
      </w:r>
      <w:r w:rsidRPr="00E97EB4">
        <w:rPr>
          <w:rFonts w:ascii="Arial" w:hAnsi="Arial" w:cs="Arial"/>
          <w:sz w:val="22"/>
          <w:szCs w:val="22"/>
        </w:rPr>
        <w:t xml:space="preserve"> podmiot</w:t>
      </w:r>
      <w:r w:rsidR="003E17FA" w:rsidRPr="00E97EB4">
        <w:rPr>
          <w:rFonts w:ascii="Arial" w:hAnsi="Arial" w:cs="Arial"/>
          <w:sz w:val="22"/>
          <w:szCs w:val="22"/>
        </w:rPr>
        <w:t>em</w:t>
      </w:r>
      <w:r w:rsidRPr="00E97EB4">
        <w:rPr>
          <w:rFonts w:ascii="Arial" w:hAnsi="Arial" w:cs="Arial"/>
          <w:sz w:val="22"/>
          <w:szCs w:val="22"/>
        </w:rPr>
        <w:t xml:space="preserve"> leczniczy</w:t>
      </w:r>
      <w:r w:rsidR="003E17FA" w:rsidRPr="00E97EB4">
        <w:rPr>
          <w:rFonts w:ascii="Arial" w:hAnsi="Arial" w:cs="Arial"/>
          <w:sz w:val="22"/>
          <w:szCs w:val="22"/>
        </w:rPr>
        <w:t>m niebędącym przedsiębiorcą,</w:t>
      </w:r>
      <w:r w:rsidRPr="00E97EB4">
        <w:rPr>
          <w:rFonts w:ascii="Arial" w:hAnsi="Arial" w:cs="Arial"/>
          <w:sz w:val="22"/>
          <w:szCs w:val="22"/>
        </w:rPr>
        <w:t xml:space="preserve"> prowadzony</w:t>
      </w:r>
      <w:r w:rsidR="003E17FA" w:rsidRPr="00E97EB4">
        <w:rPr>
          <w:rFonts w:ascii="Arial" w:hAnsi="Arial" w:cs="Arial"/>
          <w:sz w:val="22"/>
          <w:szCs w:val="22"/>
        </w:rPr>
        <w:t>m</w:t>
      </w:r>
      <w:r w:rsidRPr="00E97EB4">
        <w:rPr>
          <w:rFonts w:ascii="Arial" w:hAnsi="Arial" w:cs="Arial"/>
          <w:sz w:val="22"/>
          <w:szCs w:val="22"/>
        </w:rPr>
        <w:t xml:space="preserve"> w formie </w:t>
      </w:r>
      <w:r w:rsidR="003E17FA" w:rsidRPr="00E97EB4">
        <w:rPr>
          <w:rFonts w:ascii="Arial" w:hAnsi="Arial" w:cs="Arial"/>
          <w:sz w:val="22"/>
          <w:szCs w:val="22"/>
        </w:rPr>
        <w:t>s</w:t>
      </w:r>
      <w:r w:rsidRPr="00E97EB4">
        <w:rPr>
          <w:rFonts w:ascii="Arial" w:hAnsi="Arial" w:cs="Arial"/>
          <w:sz w:val="22"/>
          <w:szCs w:val="22"/>
        </w:rPr>
        <w:t xml:space="preserve">amodzielnego </w:t>
      </w:r>
      <w:r w:rsidR="003E17FA" w:rsidRPr="00E97EB4">
        <w:rPr>
          <w:rFonts w:ascii="Arial" w:hAnsi="Arial" w:cs="Arial"/>
          <w:sz w:val="22"/>
          <w:szCs w:val="22"/>
        </w:rPr>
        <w:t>p</w:t>
      </w:r>
      <w:r w:rsidRPr="00E97EB4">
        <w:rPr>
          <w:rFonts w:ascii="Arial" w:hAnsi="Arial" w:cs="Arial"/>
          <w:sz w:val="22"/>
          <w:szCs w:val="22"/>
        </w:rPr>
        <w:t xml:space="preserve">ublicznego </w:t>
      </w:r>
      <w:r w:rsidR="003E17FA" w:rsidRPr="00E97EB4">
        <w:rPr>
          <w:rFonts w:ascii="Arial" w:hAnsi="Arial" w:cs="Arial"/>
          <w:sz w:val="22"/>
          <w:szCs w:val="22"/>
        </w:rPr>
        <w:t>z</w:t>
      </w:r>
      <w:r w:rsidRPr="00E97EB4">
        <w:rPr>
          <w:rFonts w:ascii="Arial" w:hAnsi="Arial" w:cs="Arial"/>
          <w:sz w:val="22"/>
          <w:szCs w:val="22"/>
        </w:rPr>
        <w:t xml:space="preserve">akładu </w:t>
      </w:r>
      <w:r w:rsidR="003E17FA" w:rsidRPr="00E97EB4">
        <w:rPr>
          <w:rFonts w:ascii="Arial" w:hAnsi="Arial" w:cs="Arial"/>
          <w:sz w:val="22"/>
          <w:szCs w:val="22"/>
        </w:rPr>
        <w:t>o</w:t>
      </w:r>
      <w:r w:rsidRPr="00E97EB4">
        <w:rPr>
          <w:rFonts w:ascii="Arial" w:hAnsi="Arial" w:cs="Arial"/>
          <w:sz w:val="22"/>
          <w:szCs w:val="22"/>
        </w:rPr>
        <w:t xml:space="preserve">pieki </w:t>
      </w:r>
      <w:r w:rsidR="003E17FA" w:rsidRPr="00E97EB4">
        <w:rPr>
          <w:rFonts w:ascii="Arial" w:hAnsi="Arial" w:cs="Arial"/>
          <w:sz w:val="22"/>
          <w:szCs w:val="22"/>
        </w:rPr>
        <w:t>z</w:t>
      </w:r>
      <w:r w:rsidRPr="00E97EB4">
        <w:rPr>
          <w:rFonts w:ascii="Arial" w:hAnsi="Arial" w:cs="Arial"/>
          <w:sz w:val="22"/>
          <w:szCs w:val="22"/>
        </w:rPr>
        <w:t>drowotnej.</w:t>
      </w:r>
      <w:r w:rsidR="003E17FA" w:rsidRPr="00E97EB4">
        <w:rPr>
          <w:rFonts w:ascii="Arial" w:hAnsi="Arial" w:cs="Arial"/>
          <w:sz w:val="22"/>
          <w:szCs w:val="22"/>
        </w:rPr>
        <w:t xml:space="preserve"> Organem założycielskim szpitala jest Rada Powiatu Iławskiego. Działa on jako samorządowa jednostka organizacyjna na terenie ponad 90-tysięcznej populacji powiatu iławskiego.</w:t>
      </w:r>
    </w:p>
    <w:p w14:paraId="4AA4D168" w14:textId="0DFD2FDA" w:rsidR="003E17FA" w:rsidRPr="00E97EB4" w:rsidRDefault="003E17FA" w:rsidP="003E17F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Szpital należy do jednostek sektora finansów publicznych i prowadzi gospodarkę finansową na zasadach określonych w ustawie o działalności leczniczej. Zgodnie z  art.</w:t>
      </w:r>
      <w:r w:rsidRPr="00E97EB4">
        <w:rPr>
          <w:rFonts w:ascii="Arial" w:hAnsi="Arial" w:cs="Arial"/>
          <w:bCs/>
          <w:sz w:val="22"/>
          <w:szCs w:val="22"/>
        </w:rPr>
        <w:t xml:space="preserve"> 52 tejże ustawy jednostka</w:t>
      </w:r>
      <w:r w:rsidRPr="00E97EB4">
        <w:rPr>
          <w:rFonts w:ascii="Arial" w:hAnsi="Arial" w:cs="Arial"/>
          <w:sz w:val="22"/>
          <w:szCs w:val="22"/>
        </w:rPr>
        <w:t xml:space="preserve"> pokrywa  z posiadanych środków i uzyskiwanych przychodów koszty działalności i reguluje zobowiązania.</w:t>
      </w:r>
    </w:p>
    <w:p w14:paraId="37DE6144" w14:textId="6621F515" w:rsidR="0026668A" w:rsidRPr="00E97EB4" w:rsidRDefault="0026668A" w:rsidP="0026668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 xml:space="preserve">W związku ze stratą netto wynikającą ze sprawozdania finansowego za rok 2022 w wysokości </w:t>
      </w:r>
      <w:r w:rsidR="00193F71" w:rsidRPr="00E97EB4">
        <w:rPr>
          <w:rFonts w:ascii="Arial" w:hAnsi="Arial" w:cs="Arial"/>
          <w:sz w:val="22"/>
          <w:szCs w:val="22"/>
        </w:rPr>
        <w:t xml:space="preserve"> 1 333 448,22 zł zgodnie z art. 59 ust 4 ustawy o działalności leczniczej kierownik jednostki zobowiązany jest do sporządzenia programu naprawczego.</w:t>
      </w:r>
    </w:p>
    <w:p w14:paraId="1C7581A7" w14:textId="055D72AF" w:rsidR="00804BAF" w:rsidRPr="00E97EB4" w:rsidRDefault="00193F71" w:rsidP="00193F7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Analiza przyczyn mających wpływ na wygenerowanie straty jest pochodną wielu czynników, które się w tym okresie skumulowały, m. in.:</w:t>
      </w:r>
    </w:p>
    <w:p w14:paraId="01033E3C" w14:textId="46D8EA21" w:rsidR="00193F71" w:rsidRPr="00E97EB4" w:rsidRDefault="00193F71" w:rsidP="00193F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Nie</w:t>
      </w:r>
      <w:r w:rsidR="006F7861" w:rsidRPr="00E97EB4">
        <w:rPr>
          <w:rFonts w:ascii="Arial" w:hAnsi="Arial" w:cs="Arial"/>
          <w:sz w:val="22"/>
          <w:szCs w:val="22"/>
        </w:rPr>
        <w:t>doszacowanie</w:t>
      </w:r>
      <w:r w:rsidRPr="00E97EB4">
        <w:rPr>
          <w:rFonts w:ascii="Arial" w:hAnsi="Arial" w:cs="Arial"/>
          <w:sz w:val="22"/>
          <w:szCs w:val="22"/>
        </w:rPr>
        <w:t xml:space="preserve"> procedur medycznych,</w:t>
      </w:r>
    </w:p>
    <w:p w14:paraId="547F2AA6" w14:textId="37A6CDD4" w:rsidR="00193F71" w:rsidRPr="00E97EB4" w:rsidRDefault="00193F71" w:rsidP="00193F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Odgórne narzucanie wymogów bez dedykowanego finansowania,</w:t>
      </w:r>
    </w:p>
    <w:p w14:paraId="6097C73A" w14:textId="02C3F0AE" w:rsidR="00193F71" w:rsidRPr="00E97EB4" w:rsidRDefault="00193F71" w:rsidP="00193F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lastRenderedPageBreak/>
        <w:t>Problemy z zapewnieniem kadry medycznej – lekarzy specjalistów, pielęgniarek,</w:t>
      </w:r>
    </w:p>
    <w:p w14:paraId="1E9FC47E" w14:textId="673EDEED" w:rsidR="00193F71" w:rsidRPr="00E97EB4" w:rsidRDefault="00193F71" w:rsidP="00193F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Czasowe zawieszenie pracy oddziałów: ginekologiczno- położniczego i pediatrii,</w:t>
      </w:r>
    </w:p>
    <w:p w14:paraId="47BE69BF" w14:textId="6A33BD64" w:rsidR="00193F71" w:rsidRPr="00E97EB4" w:rsidRDefault="00A87A35" w:rsidP="00193F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Czasowe z</w:t>
      </w:r>
      <w:r w:rsidR="00193F71" w:rsidRPr="00E97EB4">
        <w:rPr>
          <w:rFonts w:ascii="Arial" w:hAnsi="Arial" w:cs="Arial"/>
          <w:sz w:val="22"/>
          <w:szCs w:val="22"/>
        </w:rPr>
        <w:t xml:space="preserve">mniejszenie liczby łóżek </w:t>
      </w:r>
      <w:r w:rsidR="00D83604" w:rsidRPr="00E97EB4">
        <w:rPr>
          <w:rFonts w:ascii="Arial" w:hAnsi="Arial" w:cs="Arial"/>
          <w:sz w:val="22"/>
          <w:szCs w:val="22"/>
        </w:rPr>
        <w:t>w</w:t>
      </w:r>
      <w:r w:rsidR="00193F71" w:rsidRPr="00E97EB4">
        <w:rPr>
          <w:rFonts w:ascii="Arial" w:hAnsi="Arial" w:cs="Arial"/>
          <w:sz w:val="22"/>
          <w:szCs w:val="22"/>
        </w:rPr>
        <w:t xml:space="preserve"> oddziale chorób wewn</w:t>
      </w:r>
      <w:r w:rsidRPr="00E97EB4">
        <w:rPr>
          <w:rFonts w:ascii="Arial" w:hAnsi="Arial" w:cs="Arial"/>
          <w:sz w:val="22"/>
          <w:szCs w:val="22"/>
        </w:rPr>
        <w:t>ętrznych,</w:t>
      </w:r>
    </w:p>
    <w:p w14:paraId="6CC2EC84" w14:textId="5DBB8CF4" w:rsidR="00A87A35" w:rsidRPr="00E97EB4" w:rsidRDefault="00A87A35" w:rsidP="00193F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Wysoki wskaźnik inflacji,</w:t>
      </w:r>
    </w:p>
    <w:p w14:paraId="576E0BB2" w14:textId="4FCAAECF" w:rsidR="00A87A35" w:rsidRPr="00E97EB4" w:rsidRDefault="00424409" w:rsidP="007B0D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Niedostateczne sfinansowanie skutków realizacji ustawy z dnia 8 czerwca 2017 r. o sposobie ustalania najniższego wynagrodzenia zasadniczego niektórych pracowników zatrudnionych w podmiotach leczniczych począwszy od 01 lipca 2022 roku.</w:t>
      </w:r>
      <w:r w:rsidR="007B0D20" w:rsidRPr="00E97EB4">
        <w:rPr>
          <w:rFonts w:ascii="Arial" w:hAnsi="Arial" w:cs="Arial"/>
          <w:sz w:val="22"/>
          <w:szCs w:val="22"/>
        </w:rPr>
        <w:t xml:space="preserve"> Środki na podwyżki miały zostać zagwarantowane zgodnie z rekomendacją nr 65/2022 z dnia 13 lipca 2022 r. Prezesa Agencji Oceny Technologii Medycznych i Taryfikacji w sprawie zmiany sposobu lub poziomu finansowania świadczeń opieki zdrowotnej oraz aneksie do raportu w sprawie zmiany sposobu lub poziomu finansowania świadczeń opieki zdrowotnej. Likwidacja współczynników korygujących z kontraktów NFZ oraz niewystarczająco podniesiona wycena punktowa za udzielone świadczenia skutkuje brakiem środków na pokrycie ustawowych podwyżek.</w:t>
      </w:r>
    </w:p>
    <w:p w14:paraId="107A5455" w14:textId="77777777" w:rsidR="002A2806" w:rsidRPr="00E97EB4" w:rsidRDefault="002A2806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W związku z powyższym w programie naprawczym założono realizację działań  mających na celu:</w:t>
      </w:r>
    </w:p>
    <w:p w14:paraId="4001FD7F" w14:textId="724D3766" w:rsidR="002A2806" w:rsidRPr="00E97EB4" w:rsidRDefault="002A2806" w:rsidP="002A280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poprawę efektywności wykorzystania zasobów,</w:t>
      </w:r>
    </w:p>
    <w:p w14:paraId="2766C8F4" w14:textId="28E6BA5B" w:rsidR="002A2806" w:rsidRPr="00E97EB4" w:rsidRDefault="002A2806" w:rsidP="002A280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poprawę zyskowności działalności,</w:t>
      </w:r>
    </w:p>
    <w:p w14:paraId="5350B3C3" w14:textId="53DEA1D3" w:rsidR="002A2806" w:rsidRPr="00E97EB4" w:rsidRDefault="002A2806" w:rsidP="002A280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poprawę jakości wykonywanych świadczeń,</w:t>
      </w:r>
    </w:p>
    <w:p w14:paraId="4502E08E" w14:textId="0AA329FF" w:rsidR="00F71DFC" w:rsidRDefault="002A2806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Celem nadrzędnym wprowadzenia działań naprawczych jest zabezpieczenie zakresu realizowanych świadczeń finansowanych ze środków publicznych na dotychczasowym poziomie przy zwiększeniu efektywności wykorzystania zasobów.</w:t>
      </w:r>
    </w:p>
    <w:p w14:paraId="1DF52829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8F98ED5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8A2C471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FB7A26B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B610595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C5CACA1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B90C197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AECD49F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55E274B" w14:textId="77777777" w:rsid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8F4F789" w14:textId="77777777" w:rsidR="00E97EB4" w:rsidRPr="00E97EB4" w:rsidRDefault="00E97EB4" w:rsidP="002A280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32D7EA8" w14:textId="74A4CB20" w:rsidR="00CF6A86" w:rsidRPr="00E97EB4" w:rsidRDefault="00D83604" w:rsidP="00D8360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97EB4">
        <w:rPr>
          <w:rFonts w:ascii="Arial" w:hAnsi="Arial" w:cs="Arial"/>
          <w:b/>
          <w:bCs/>
          <w:sz w:val="28"/>
          <w:szCs w:val="28"/>
        </w:rPr>
        <w:lastRenderedPageBreak/>
        <w:t>Analiza sytuacji ekonomiczno-finansowej za poprzedni rok obrotowy dokonana  na podstawie wskaźników ekonomiczno-finansowych w oparciu o dane ze  sprawozdania finansowego za rok 2022</w:t>
      </w:r>
    </w:p>
    <w:p w14:paraId="46D731E8" w14:textId="77777777" w:rsidR="00CF6A86" w:rsidRPr="00E97EB4" w:rsidRDefault="00CF6A86" w:rsidP="00D83604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E1E1ECE" w14:textId="48A268B9" w:rsidR="00CF6A86" w:rsidRPr="00E97EB4" w:rsidRDefault="009A0D3E" w:rsidP="009A0D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Program Aptos" w:hAnsi="Program Aptos"/>
          <w:b/>
          <w:bCs/>
          <w:sz w:val="32"/>
          <w:szCs w:val="32"/>
        </w:rPr>
        <w:tab/>
      </w:r>
      <w:r w:rsidRPr="00E97EB4">
        <w:rPr>
          <w:rFonts w:ascii="Arial" w:hAnsi="Arial" w:cs="Arial"/>
          <w:sz w:val="22"/>
          <w:szCs w:val="22"/>
        </w:rPr>
        <w:t>Zgodnie z art. 59 ust. 4 ustawy o działalności leczniczej analizę przeprowadzono w oparciu o Rozporządzenie Ministra Zdrowia z dnia 12 kwietnia 2017 roku w sprawie wskaźników ekonomiczno- finansowych niezbędnych do sporządzenia analizy oraz prognozy sytuacji ekonomiczno-finansowej samodzielnych publicznych zakładów opieki zdrowotnej (Dz. U. z 2017 r., poz.832).</w:t>
      </w:r>
      <w:r w:rsidR="00A92D1A" w:rsidRPr="00E97EB4">
        <w:rPr>
          <w:rFonts w:ascii="Arial" w:hAnsi="Arial" w:cs="Arial"/>
          <w:sz w:val="22"/>
          <w:szCs w:val="22"/>
        </w:rPr>
        <w:t xml:space="preserve"> W</w:t>
      </w:r>
      <w:r w:rsidRPr="00E97EB4">
        <w:rPr>
          <w:rFonts w:ascii="Arial" w:hAnsi="Arial" w:cs="Arial"/>
          <w:sz w:val="22"/>
          <w:szCs w:val="22"/>
        </w:rPr>
        <w:t xml:space="preserve"> oparciu o punktowe oceny przypisane poszczególnym wskaźnikom wyliczonym zgodnie ze sposobem określonym w w/w rozporządzeniu</w:t>
      </w:r>
      <w:r w:rsidR="00A92D1A" w:rsidRPr="00E97EB4">
        <w:rPr>
          <w:rFonts w:ascii="Arial" w:hAnsi="Arial" w:cs="Arial"/>
          <w:sz w:val="22"/>
          <w:szCs w:val="22"/>
        </w:rPr>
        <w:t xml:space="preserve"> Szpital uzyskał 50 punktów na 70 możliwych do uzyskania.</w:t>
      </w:r>
    </w:p>
    <w:p w14:paraId="1FA263FF" w14:textId="77777777" w:rsidR="00E673D3" w:rsidRPr="00E97EB4" w:rsidRDefault="00E673D3" w:rsidP="00E673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ab/>
        <w:t>Zaproponowany przez Ministra Zdrowia podział punktów pomiędzy poszczególne grupy wskaźników ekonomicznych odzwierciedla ich znaczenie w ocenie sytuacji ekonomiczno- finansowej szpitala. Największy wpływ na tę ocenę mają wskaźniki płynności, które stanowią 36%  i wskaźniki zadłużenia stanowiące 29 % wszystkich możliwych punktów do uzyskania. Szpital w grupie wskaźników płynności uzyskał 80 % max liczby punktów ( 20 punktów na 25 możliwych do uzyskania) oraz w grupie wskaźników zadłużenia maksymalną ilość punktów (tj. 20 na 20 możliwych do uzyskania).</w:t>
      </w:r>
    </w:p>
    <w:p w14:paraId="33E2E768" w14:textId="77777777" w:rsidR="00E673D3" w:rsidRPr="00E97EB4" w:rsidRDefault="00E673D3" w:rsidP="00E673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Wskaźniki zyskowności stanowią 21 % wszystkich punktów. W 2022 r. przyjmują  wartości ujemne ze względu na osiągnięty ujemny wynik finansowy netto jak też ujemny wynik na podstawowej działalności operacyjnej. Wskaźniki te informują o braku równowagi pomiędzy przychodami i kosztami działalności operacyjnej, a ujemny wskaźnik zyskowności aktywów potwierdza, że szpital generuje stratę.</w:t>
      </w:r>
    </w:p>
    <w:p w14:paraId="22D45C59" w14:textId="2E392386" w:rsidR="00E673D3" w:rsidRPr="00E97EB4" w:rsidRDefault="00E673D3" w:rsidP="00E673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EB4">
        <w:rPr>
          <w:rFonts w:ascii="Arial" w:hAnsi="Arial" w:cs="Arial"/>
          <w:sz w:val="22"/>
          <w:szCs w:val="22"/>
        </w:rPr>
        <w:t>Uzyskanie 50 punktów w kategorii wskaźników płynności, efektywności i zadłużenia świadczy o stabilności ekonomiczno-finansowej szpitala i sprawności bieżącego zarządzania jednostką. Kontynuacja działalności nie jest zagrożona. Niemniej, ze względu na wykazaną w sprawozdaniu stratę netto, powinny być podjęte działania naprawcze ukierunkowane na wzrost efektywności działania i stabilność ekonomiczno-finansową Szpitala.</w:t>
      </w:r>
    </w:p>
    <w:p w14:paraId="6F04FDA9" w14:textId="63D8E62D" w:rsidR="00E673D3" w:rsidRPr="00E97EB4" w:rsidRDefault="00CF6A86" w:rsidP="00E97E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A86">
        <w:rPr>
          <w:noProof/>
        </w:rPr>
        <w:lastRenderedPageBreak/>
        <w:drawing>
          <wp:inline distT="0" distB="0" distL="0" distR="0" wp14:anchorId="6A59BAA5" wp14:editId="22FB73CD">
            <wp:extent cx="5760720" cy="8849360"/>
            <wp:effectExtent l="0" t="0" r="0" b="8890"/>
            <wp:docPr id="179666700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3D3">
        <w:rPr>
          <w:rFonts w:ascii="Program Aptos" w:hAnsi="Program Aptos"/>
        </w:rPr>
        <w:lastRenderedPageBreak/>
        <w:tab/>
      </w:r>
      <w:r w:rsidR="00E673D3" w:rsidRPr="00E97EB4">
        <w:rPr>
          <w:rFonts w:ascii="Arial" w:hAnsi="Arial" w:cs="Arial"/>
          <w:sz w:val="22"/>
          <w:szCs w:val="22"/>
        </w:rPr>
        <w:t xml:space="preserve">Publiczne podmioty lecznicze działające w formie samodzielnych publicznych zakładów opieki zdrowotnej </w:t>
      </w:r>
      <w:r w:rsidR="00043C1D" w:rsidRPr="00E97EB4">
        <w:rPr>
          <w:rFonts w:ascii="Arial" w:hAnsi="Arial" w:cs="Arial"/>
          <w:sz w:val="22"/>
          <w:szCs w:val="22"/>
        </w:rPr>
        <w:t>nie są nastawione na osiąganie zysku – ich celem jest zabezpieczenie realizacji świadczeń w zakresie ochrony zdrowia. Nie dostosowując kosztów działalności do poziomu możliwych do osiągnięcia przychodów generujemy straty. Nie mamy jednak większego wpływu na wysokość przychodów z NFZ.</w:t>
      </w:r>
    </w:p>
    <w:p w14:paraId="49638A4C" w14:textId="77777777" w:rsidR="00043C1D" w:rsidRDefault="00043C1D" w:rsidP="00E673D3">
      <w:pPr>
        <w:spacing w:line="360" w:lineRule="auto"/>
        <w:jc w:val="both"/>
        <w:rPr>
          <w:rFonts w:ascii="Program Aptos" w:hAnsi="Program Aptos"/>
        </w:rPr>
      </w:pPr>
    </w:p>
    <w:p w14:paraId="1D543857" w14:textId="77777777" w:rsidR="00043C1D" w:rsidRDefault="00043C1D" w:rsidP="00E673D3">
      <w:pPr>
        <w:spacing w:line="360" w:lineRule="auto"/>
        <w:jc w:val="both"/>
        <w:rPr>
          <w:rFonts w:ascii="Program Aptos" w:hAnsi="Program Aptos"/>
        </w:rPr>
      </w:pPr>
    </w:p>
    <w:p w14:paraId="41516863" w14:textId="670CDB22" w:rsidR="00522E16" w:rsidRPr="002B1388" w:rsidRDefault="00043C1D" w:rsidP="00E673D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97EB4">
        <w:rPr>
          <w:rFonts w:ascii="Arial" w:hAnsi="Arial" w:cs="Arial"/>
          <w:b/>
          <w:sz w:val="28"/>
          <w:szCs w:val="28"/>
        </w:rPr>
        <w:t>Działania naprawcze i ich wpływ na sytuację ekonomiczno-finansową s</w:t>
      </w:r>
      <w:r w:rsidR="002A1F5E" w:rsidRPr="00E97EB4">
        <w:rPr>
          <w:rFonts w:ascii="Arial" w:hAnsi="Arial" w:cs="Arial"/>
          <w:b/>
          <w:sz w:val="28"/>
          <w:szCs w:val="28"/>
        </w:rPr>
        <w:t>zpitala</w:t>
      </w:r>
      <w:r w:rsidRPr="00E97EB4">
        <w:rPr>
          <w:rFonts w:ascii="Arial" w:hAnsi="Arial" w:cs="Arial"/>
          <w:b/>
          <w:sz w:val="28"/>
          <w:szCs w:val="28"/>
        </w:rPr>
        <w:t xml:space="preserve"> w okresie od 1 stycznia 2023 r. do 31 grudnia 2023 r</w:t>
      </w:r>
      <w:r w:rsidR="00522E16" w:rsidRPr="00E97EB4">
        <w:rPr>
          <w:rFonts w:ascii="Arial" w:hAnsi="Arial" w:cs="Arial"/>
          <w:b/>
          <w:sz w:val="28"/>
          <w:szCs w:val="28"/>
        </w:rPr>
        <w:t>.</w:t>
      </w:r>
    </w:p>
    <w:p w14:paraId="3C405278" w14:textId="137AFFC9" w:rsidR="005C25A0" w:rsidRPr="002B1388" w:rsidRDefault="00760BD5" w:rsidP="00E673D3">
      <w:pPr>
        <w:spacing w:line="360" w:lineRule="auto"/>
        <w:jc w:val="both"/>
        <w:rPr>
          <w:rFonts w:ascii="Arial" w:hAnsi="Arial" w:cs="Arial"/>
          <w:bCs/>
          <w:u w:val="single"/>
          <w:lang w:eastAsia="pl-PL"/>
        </w:rPr>
      </w:pPr>
      <w:r w:rsidRPr="002B1388">
        <w:rPr>
          <w:rFonts w:ascii="Arial" w:hAnsi="Arial" w:cs="Arial"/>
          <w:bCs/>
          <w:u w:val="single"/>
          <w:lang w:eastAsia="pl-PL"/>
        </w:rPr>
        <w:t xml:space="preserve">Działanie 1.1. </w:t>
      </w:r>
      <w:r w:rsidR="00522E16" w:rsidRPr="002B1388">
        <w:rPr>
          <w:rFonts w:ascii="Arial" w:hAnsi="Arial" w:cs="Arial"/>
          <w:bCs/>
          <w:u w:val="single"/>
          <w:lang w:eastAsia="pl-PL"/>
        </w:rPr>
        <w:t xml:space="preserve">Zwiększenie przychodów wskutek usprawnienia działania </w:t>
      </w:r>
      <w:r w:rsidR="005C25A0" w:rsidRPr="002B1388">
        <w:rPr>
          <w:rFonts w:ascii="Arial" w:hAnsi="Arial" w:cs="Arial"/>
          <w:bCs/>
          <w:u w:val="single"/>
          <w:lang w:eastAsia="pl-PL"/>
        </w:rPr>
        <w:t>Ambulatoryjnej Opieki Specjalistycznej</w:t>
      </w:r>
    </w:p>
    <w:p w14:paraId="2F985BD8" w14:textId="77777777" w:rsidR="005C25A0" w:rsidRDefault="005C25A0" w:rsidP="00E673D3">
      <w:pPr>
        <w:spacing w:line="360" w:lineRule="auto"/>
        <w:jc w:val="both"/>
        <w:rPr>
          <w:rFonts w:ascii="Aptos" w:hAnsi="Aptos" w:cs="Arial"/>
          <w:bCs/>
          <w:sz w:val="28"/>
          <w:szCs w:val="28"/>
          <w:u w:val="single"/>
          <w:lang w:eastAsia="pl-PL"/>
        </w:rPr>
      </w:pPr>
    </w:p>
    <w:p w14:paraId="2B6DD61E" w14:textId="77777777" w:rsidR="005C25A0" w:rsidRPr="002B1388" w:rsidRDefault="005C25A0" w:rsidP="005C25A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 xml:space="preserve">Zakładane  zmiany w organizacji i finansowaniu : </w:t>
      </w:r>
    </w:p>
    <w:p w14:paraId="2FBBFFA9" w14:textId="77777777" w:rsidR="005C25A0" w:rsidRPr="002B1388" w:rsidRDefault="005C25A0" w:rsidP="005C25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>powiązanie poradni z oddziałami szpitalnymi,</w:t>
      </w:r>
    </w:p>
    <w:p w14:paraId="468CBBDF" w14:textId="3EBFA95A" w:rsidR="00CF6A86" w:rsidRPr="002B1388" w:rsidRDefault="00CF6A86" w:rsidP="005C25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>wprowadzenie nowych poradni w zakresie neonatologii i anestezjologii,</w:t>
      </w:r>
    </w:p>
    <w:p w14:paraId="5A4BCA2A" w14:textId="77777777" w:rsidR="005C25A0" w:rsidRPr="002B1388" w:rsidRDefault="005C25A0" w:rsidP="005C25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>uzależnienie wysokości wynagrodzenia lekarzy od liczby zrealizowanych świadczeń i wysokości przychodów za wykonane porady,</w:t>
      </w:r>
    </w:p>
    <w:p w14:paraId="289789F2" w14:textId="77777777" w:rsidR="005C25A0" w:rsidRPr="002B1388" w:rsidRDefault="005C25A0" w:rsidP="005C25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>współfinansowanie badań diagnostyki laboratoryjnej,</w:t>
      </w:r>
    </w:p>
    <w:p w14:paraId="5893D6D7" w14:textId="77777777" w:rsidR="005C25A0" w:rsidRPr="002B1388" w:rsidRDefault="005C25A0" w:rsidP="005C25A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>wykonywanie wszystkich niezbędnych badań diagnostycznych i profilaktycznych na zlecenie lekarza specjalisty z poradni,</w:t>
      </w:r>
    </w:p>
    <w:p w14:paraId="584373FB" w14:textId="64B08E7E" w:rsidR="00760BD5" w:rsidRPr="002B1388" w:rsidRDefault="005C25A0" w:rsidP="00E673D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>dostosowanie czasu pracy poradni do liczby realizowanych porad.</w:t>
      </w:r>
    </w:p>
    <w:p w14:paraId="147BFDB9" w14:textId="77777777" w:rsidR="00DD4445" w:rsidRPr="002B1388" w:rsidRDefault="00DD4445" w:rsidP="00DD444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EA72237" w14:textId="1EC32C7E" w:rsidR="00DD4445" w:rsidRPr="002B1388" w:rsidRDefault="00DD4445" w:rsidP="00DD444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eastAsia="Times New Roman" w:hAnsi="Arial" w:cs="Arial"/>
          <w:bCs/>
          <w:sz w:val="22"/>
          <w:szCs w:val="22"/>
          <w:lang w:eastAsia="pl-PL"/>
        </w:rPr>
        <w:t>Nowelizacja ustawy o świadczeniach opieki zdrowotnej finansowanej ze środków publicznych wprowadza pojęcie poradni przyszpitalnej. Celem takiego działania było obniżenie kosztów leczenia poprzez wyeliminowanie zbędnych hospitalizacji oraz poprawa komfortu leczenia, który w trakcie całego procesu leczenia jest prowadzony przez jednego lekarza.</w:t>
      </w:r>
    </w:p>
    <w:p w14:paraId="74A412C8" w14:textId="3634F5BA" w:rsidR="00522E16" w:rsidRPr="002B1388" w:rsidRDefault="00522E16" w:rsidP="00522E16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 xml:space="preserve">Z dniem 1.07.2021 r. zniesiony został limit w dostępie do lekarzy specjalistów pod hasłem zmniejszenia tzw. długu zdrowotnego zaciągniętego wskutek ograniczenia dostępności do świadczeń zdrowotnych w okresie pandemii. </w:t>
      </w:r>
    </w:p>
    <w:p w14:paraId="7E8E6164" w14:textId="0D363BE2" w:rsidR="00522E16" w:rsidRPr="002B1388" w:rsidRDefault="00522E16" w:rsidP="00522E16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B1388">
        <w:rPr>
          <w:rFonts w:ascii="Arial" w:hAnsi="Arial" w:cs="Arial"/>
          <w:bCs/>
          <w:sz w:val="22"/>
          <w:szCs w:val="22"/>
          <w:lang w:eastAsia="pl-PL"/>
        </w:rPr>
        <w:t>Wyłączenie świadczeń poradni przyszpitalnych z ryczałtu tzw. sieci szpitali umożliwiło wprowadzenie przez Narodowy Fundusz Zdrowia nielimitowanego finansowania tych świadczeń wyłączonych z ryczałtu systemu zabezpieczenia.</w:t>
      </w:r>
    </w:p>
    <w:p w14:paraId="572064E9" w14:textId="0D84F955" w:rsidR="009A0D3E" w:rsidRPr="002B1388" w:rsidRDefault="00522E16" w:rsidP="00760BD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proofErr w:type="spellStart"/>
      <w:r w:rsidRPr="002B1388">
        <w:rPr>
          <w:rFonts w:ascii="Arial" w:hAnsi="Arial" w:cs="Arial"/>
          <w:bCs/>
          <w:sz w:val="22"/>
          <w:szCs w:val="22"/>
          <w:lang w:eastAsia="pl-PL"/>
        </w:rPr>
        <w:t>Bezlimitowe</w:t>
      </w:r>
      <w:proofErr w:type="spellEnd"/>
      <w:r w:rsidRPr="002B1388">
        <w:rPr>
          <w:rFonts w:ascii="Arial" w:hAnsi="Arial" w:cs="Arial"/>
          <w:bCs/>
          <w:sz w:val="22"/>
          <w:szCs w:val="22"/>
          <w:lang w:eastAsia="pl-PL"/>
        </w:rPr>
        <w:t xml:space="preserve"> rozliczanie dotyczy wszystkich świadczeń opieki zdrowotnej w rodzaju ambulatoryjna opieka specjalistyczna, tj. zgodnie z rzeczywistym wykonaniem tych świadczeń, </w:t>
      </w:r>
      <w:r w:rsidRPr="002B1388">
        <w:rPr>
          <w:rFonts w:ascii="Arial" w:hAnsi="Arial" w:cs="Arial"/>
          <w:bCs/>
          <w:sz w:val="22"/>
          <w:szCs w:val="22"/>
          <w:lang w:eastAsia="pl-PL"/>
        </w:rPr>
        <w:lastRenderedPageBreak/>
        <w:t xml:space="preserve">zarówno w zakresach podstawowych, jak i skojarzonych do nich, oraz badaniach diagnostycznych kosztochłonnych w celu wdrożenia rozwiązań umożliwiających zmotywowanie świadczeniodawców do  poprawy dostępności do przedmiotowych świadczeń. W praktyce udzielanie świadczeń z zakresu ambulatoryjnej opieki specjalistycznej </w:t>
      </w:r>
      <w:r w:rsidR="00760BD5" w:rsidRPr="002B1388">
        <w:rPr>
          <w:rFonts w:ascii="Arial" w:hAnsi="Arial" w:cs="Arial"/>
          <w:bCs/>
          <w:sz w:val="22"/>
          <w:szCs w:val="22"/>
          <w:lang w:eastAsia="pl-PL"/>
        </w:rPr>
        <w:t>jest</w:t>
      </w:r>
      <w:r w:rsidRPr="002B1388">
        <w:rPr>
          <w:rFonts w:ascii="Arial" w:hAnsi="Arial" w:cs="Arial"/>
          <w:bCs/>
          <w:sz w:val="22"/>
          <w:szCs w:val="22"/>
          <w:lang w:eastAsia="pl-PL"/>
        </w:rPr>
        <w:t xml:space="preserve"> finansowane wg rzeczywistego wykonania, ponad limit wynikający z umowy. Podjęto działania zmierzające do poprawy efektywności funkcjonowania poradni specjalistycznych, w tym do zwiększenia liczby przyjmowanych pacjentów. </w:t>
      </w:r>
      <w:r w:rsidR="005C25A0" w:rsidRPr="002B138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Wprowadzenie  dodatkowych poradni specjalistycznych w zakresie neonatologii oraz anestezjologii oraz  określenie minimalnego czasu funkcjonowania poradni w wysokości 12 godzin w tygodniu pozwala na bardziej elastyczne zarządzanie organizacją leczenia  pacjentów. Dostosowanie godzin funkcjonowania poradni do faktycznych potrzeb występujących w danej jednostce oraz wykorzystanie lekarzy zatrudnionych w szpitalu do obsługi pacjentów w poradni pozwala na efektywniejsze wykorzystanie zasobów zarówno lokalowych jak i zasobów ludzkich. </w:t>
      </w:r>
      <w:r w:rsidRPr="002B1388">
        <w:rPr>
          <w:rFonts w:ascii="Arial" w:hAnsi="Arial" w:cs="Arial"/>
          <w:bCs/>
          <w:sz w:val="22"/>
          <w:szCs w:val="22"/>
          <w:lang w:eastAsia="pl-PL"/>
        </w:rPr>
        <w:t>Szacujemy, że poszerzenie wachlarza działań, na jeszcze bardziej zorientowane na klienta</w:t>
      </w:r>
      <w:r w:rsidR="00760BD5" w:rsidRPr="002B1388">
        <w:rPr>
          <w:rFonts w:ascii="Arial" w:hAnsi="Arial" w:cs="Arial"/>
          <w:bCs/>
          <w:sz w:val="22"/>
          <w:szCs w:val="22"/>
          <w:lang w:eastAsia="pl-PL"/>
        </w:rPr>
        <w:t xml:space="preserve"> wpłynie na </w:t>
      </w:r>
      <w:r w:rsidRPr="002B1388">
        <w:rPr>
          <w:rFonts w:ascii="Arial" w:hAnsi="Arial" w:cs="Arial"/>
          <w:bCs/>
          <w:sz w:val="22"/>
          <w:szCs w:val="22"/>
          <w:lang w:eastAsia="pl-PL"/>
        </w:rPr>
        <w:t>zwiększ</w:t>
      </w:r>
      <w:r w:rsidR="00760BD5" w:rsidRPr="002B1388">
        <w:rPr>
          <w:rFonts w:ascii="Arial" w:hAnsi="Arial" w:cs="Arial"/>
          <w:bCs/>
          <w:sz w:val="22"/>
          <w:szCs w:val="22"/>
          <w:lang w:eastAsia="pl-PL"/>
        </w:rPr>
        <w:t>enie</w:t>
      </w:r>
      <w:r w:rsidRPr="002B1388">
        <w:rPr>
          <w:rFonts w:ascii="Arial" w:hAnsi="Arial" w:cs="Arial"/>
          <w:bCs/>
          <w:sz w:val="22"/>
          <w:szCs w:val="22"/>
          <w:lang w:eastAsia="pl-PL"/>
        </w:rPr>
        <w:t xml:space="preserve"> się liczb</w:t>
      </w:r>
      <w:r w:rsidR="00760BD5" w:rsidRPr="002B1388">
        <w:rPr>
          <w:rFonts w:ascii="Arial" w:hAnsi="Arial" w:cs="Arial"/>
          <w:bCs/>
          <w:sz w:val="22"/>
          <w:szCs w:val="22"/>
          <w:lang w:eastAsia="pl-PL"/>
        </w:rPr>
        <w:t>y</w:t>
      </w:r>
      <w:r w:rsidRPr="002B1388">
        <w:rPr>
          <w:rFonts w:ascii="Arial" w:hAnsi="Arial" w:cs="Arial"/>
          <w:bCs/>
          <w:sz w:val="22"/>
          <w:szCs w:val="22"/>
          <w:lang w:eastAsia="pl-PL"/>
        </w:rPr>
        <w:t xml:space="preserve"> porad, a tym samym</w:t>
      </w:r>
      <w:r w:rsidR="00760BD5" w:rsidRPr="002B13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2B1388">
        <w:rPr>
          <w:rFonts w:ascii="Arial" w:hAnsi="Arial" w:cs="Arial"/>
          <w:bCs/>
          <w:sz w:val="22"/>
          <w:szCs w:val="22"/>
          <w:lang w:eastAsia="pl-PL"/>
        </w:rPr>
        <w:t>przychod</w:t>
      </w:r>
      <w:r w:rsidR="00760BD5" w:rsidRPr="002B1388">
        <w:rPr>
          <w:rFonts w:ascii="Arial" w:hAnsi="Arial" w:cs="Arial"/>
          <w:bCs/>
          <w:sz w:val="22"/>
          <w:szCs w:val="22"/>
          <w:lang w:eastAsia="pl-PL"/>
        </w:rPr>
        <w:t>ów</w:t>
      </w:r>
      <w:r w:rsidR="001F35DA" w:rsidRPr="002B1388">
        <w:rPr>
          <w:rFonts w:ascii="Arial" w:hAnsi="Arial" w:cs="Arial"/>
          <w:bCs/>
          <w:sz w:val="22"/>
          <w:szCs w:val="22"/>
          <w:lang w:eastAsia="pl-PL"/>
        </w:rPr>
        <w:t xml:space="preserve"> o ok. 15 %.</w:t>
      </w:r>
    </w:p>
    <w:p w14:paraId="2C1951EE" w14:textId="77777777" w:rsidR="002B25C3" w:rsidRDefault="002B25C3" w:rsidP="002B25C3">
      <w:pPr>
        <w:spacing w:line="360" w:lineRule="auto"/>
        <w:jc w:val="both"/>
        <w:rPr>
          <w:rFonts w:ascii="Aptos" w:hAnsi="Aptos" w:cs="Arial"/>
        </w:rPr>
      </w:pPr>
    </w:p>
    <w:p w14:paraId="6CD3219A" w14:textId="3DAA8E52" w:rsidR="002B25C3" w:rsidRPr="002B1388" w:rsidRDefault="002B25C3" w:rsidP="002B25C3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2B1388">
        <w:rPr>
          <w:rFonts w:ascii="Arial" w:hAnsi="Arial" w:cs="Arial"/>
          <w:bCs/>
          <w:u w:val="single"/>
        </w:rPr>
        <w:t xml:space="preserve">Działanie </w:t>
      </w:r>
      <w:r w:rsidR="00906F71" w:rsidRPr="002B1388">
        <w:rPr>
          <w:rFonts w:ascii="Arial" w:hAnsi="Arial" w:cs="Arial"/>
          <w:bCs/>
          <w:u w:val="single"/>
        </w:rPr>
        <w:t>2</w:t>
      </w:r>
      <w:r w:rsidRPr="002B1388">
        <w:rPr>
          <w:rFonts w:ascii="Arial" w:hAnsi="Arial" w:cs="Arial"/>
          <w:bCs/>
          <w:u w:val="single"/>
        </w:rPr>
        <w:t>.1. Podwyższenie kwoty przychodów w następnych okresach rozliczeniowych</w:t>
      </w:r>
    </w:p>
    <w:p w14:paraId="512C7702" w14:textId="77777777" w:rsidR="00906F71" w:rsidRPr="002B1388" w:rsidRDefault="00906F71" w:rsidP="00BE067F">
      <w:pPr>
        <w:pStyle w:val="Akapitzlist"/>
        <w:spacing w:line="360" w:lineRule="auto"/>
        <w:ind w:left="142" w:firstLine="142"/>
        <w:jc w:val="both"/>
        <w:rPr>
          <w:rFonts w:ascii="Arial" w:eastAsia="Times New Roman" w:hAnsi="Arial" w:cs="Arial"/>
          <w:lang w:eastAsia="pl-PL"/>
        </w:rPr>
      </w:pPr>
    </w:p>
    <w:p w14:paraId="63778A80" w14:textId="58D3D202" w:rsidR="00BE067F" w:rsidRPr="002B1388" w:rsidRDefault="00BE067F" w:rsidP="00906F71">
      <w:pPr>
        <w:pStyle w:val="Akapitzlist"/>
        <w:spacing w:line="360" w:lineRule="auto"/>
        <w:ind w:left="142"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Do wykonania tego zadania należy przyjąć następujące </w:t>
      </w:r>
      <w:r w:rsidRPr="002B1388">
        <w:rPr>
          <w:rFonts w:ascii="Arial" w:eastAsia="Times New Roman" w:hAnsi="Arial" w:cs="Arial"/>
          <w:b/>
          <w:sz w:val="22"/>
          <w:szCs w:val="22"/>
          <w:lang w:eastAsia="pl-PL"/>
        </w:rPr>
        <w:t>założenia:</w:t>
      </w:r>
    </w:p>
    <w:p w14:paraId="3AF43046" w14:textId="01F8B4BD" w:rsidR="00906F71" w:rsidRPr="002B1388" w:rsidRDefault="00906F71" w:rsidP="00906F7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1388">
        <w:rPr>
          <w:rFonts w:ascii="Arial" w:eastAsia="Times New Roman" w:hAnsi="Arial" w:cs="Arial"/>
          <w:sz w:val="22"/>
          <w:szCs w:val="22"/>
          <w:lang w:eastAsia="pl-PL"/>
        </w:rPr>
        <w:t>a) zwiększenie realizacji świadczeń medycznych w ramach ryczałtu,</w:t>
      </w:r>
    </w:p>
    <w:p w14:paraId="0BF03788" w14:textId="77777777" w:rsidR="00906F71" w:rsidRPr="002B1388" w:rsidRDefault="00BE067F" w:rsidP="00906F71">
      <w:pPr>
        <w:pStyle w:val="Akapitzlist"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b) </w:t>
      </w:r>
      <w:r w:rsidR="00906F71" w:rsidRPr="002B1388">
        <w:rPr>
          <w:rFonts w:ascii="Arial" w:eastAsia="Times New Roman" w:hAnsi="Arial" w:cs="Arial"/>
          <w:sz w:val="22"/>
          <w:szCs w:val="22"/>
          <w:lang w:eastAsia="pl-PL"/>
        </w:rPr>
        <w:t>maksymalizacja realizacji świadczeń odrębnie finansowanych w ramach kontraktu z NFZ,</w:t>
      </w:r>
    </w:p>
    <w:p w14:paraId="06A45D8A" w14:textId="64B0833F" w:rsidR="00BE067F" w:rsidRPr="002B1388" w:rsidRDefault="00906F71" w:rsidP="00906F71">
      <w:pPr>
        <w:pStyle w:val="Akapitzlist"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c) </w:t>
      </w:r>
      <w:r w:rsidR="00BE067F" w:rsidRPr="002B1388">
        <w:rPr>
          <w:rFonts w:ascii="Arial" w:eastAsia="Times New Roman" w:hAnsi="Arial" w:cs="Arial"/>
          <w:sz w:val="22"/>
          <w:szCs w:val="22"/>
          <w:lang w:eastAsia="pl-PL"/>
        </w:rPr>
        <w:t>stały monitoring realizacji umów z NFZ,</w:t>
      </w:r>
    </w:p>
    <w:p w14:paraId="6AA53266" w14:textId="46511952" w:rsidR="00BE067F" w:rsidRPr="002B1388" w:rsidRDefault="00906F71" w:rsidP="00BE067F">
      <w:pPr>
        <w:pStyle w:val="Akapitzlist"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1388">
        <w:rPr>
          <w:rFonts w:ascii="Arial" w:eastAsia="Times New Roman" w:hAnsi="Arial" w:cs="Arial"/>
          <w:sz w:val="22"/>
          <w:szCs w:val="22"/>
          <w:lang w:eastAsia="pl-PL"/>
        </w:rPr>
        <w:t>d</w:t>
      </w:r>
      <w:r w:rsidR="00BE067F" w:rsidRPr="002B1388">
        <w:rPr>
          <w:rFonts w:ascii="Arial" w:eastAsia="Times New Roman" w:hAnsi="Arial" w:cs="Arial"/>
          <w:sz w:val="22"/>
          <w:szCs w:val="22"/>
          <w:lang w:eastAsia="pl-PL"/>
        </w:rPr>
        <w:t>) kontrola i obniżanie współczynnika ponownych hospitalizacji w okresie krótszym niż 30 dni</w:t>
      </w:r>
      <w:r w:rsidRPr="002B138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B15E499" w14:textId="77777777" w:rsidR="00906F71" w:rsidRPr="002B1388" w:rsidRDefault="00906F71" w:rsidP="00BE067F">
      <w:pPr>
        <w:pStyle w:val="Akapitzlist"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1A6508C" w14:textId="4DD62165" w:rsidR="00FE697D" w:rsidRPr="002B1388" w:rsidRDefault="002B25C3" w:rsidP="00BE06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1388">
        <w:rPr>
          <w:rFonts w:ascii="Arial" w:eastAsia="Times New Roman" w:hAnsi="Arial" w:cs="Arial"/>
          <w:sz w:val="22"/>
          <w:szCs w:val="22"/>
          <w:lang w:eastAsia="pl-PL"/>
        </w:rPr>
        <w:t>Zwiększenie przychodów</w:t>
      </w:r>
      <w:r w:rsidR="00906F71"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 w ramach ryczałtu</w:t>
      </w:r>
      <w:r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F35DA"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zgodnie z przyjętymi zasadami </w:t>
      </w:r>
      <w:r w:rsidRPr="002B1388">
        <w:rPr>
          <w:rFonts w:ascii="Arial" w:eastAsia="Times New Roman" w:hAnsi="Arial" w:cs="Arial"/>
          <w:sz w:val="22"/>
          <w:szCs w:val="22"/>
          <w:lang w:eastAsia="pl-PL"/>
        </w:rPr>
        <w:t>możliwe</w:t>
      </w:r>
      <w:r w:rsidR="001F35DA"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 jest</w:t>
      </w:r>
      <w:r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 w latach następnych po spełnieniu warunków</w:t>
      </w:r>
      <w:r w:rsidR="00906F71"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B1388">
        <w:rPr>
          <w:rFonts w:ascii="Arial" w:eastAsia="Times New Roman" w:hAnsi="Arial" w:cs="Arial"/>
          <w:sz w:val="22"/>
          <w:szCs w:val="22"/>
          <w:lang w:eastAsia="pl-PL"/>
        </w:rPr>
        <w:t>realizacji większej ilości świadczeń.</w:t>
      </w:r>
      <w:r w:rsidR="00BE067F"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Spełnienie warunków uprawniających do podwyższenia lub eliminacja przesłanek, które mogą mieć wpływ </w:t>
      </w:r>
      <w:r w:rsidR="00530CA6">
        <w:rPr>
          <w:rFonts w:ascii="Arial" w:eastAsia="Times New Roman" w:hAnsi="Arial" w:cs="Arial"/>
          <w:sz w:val="22"/>
          <w:szCs w:val="22"/>
          <w:lang w:eastAsia="pl-PL"/>
        </w:rPr>
        <w:t>na</w:t>
      </w:r>
      <w:r w:rsidRPr="002B1388">
        <w:rPr>
          <w:rFonts w:ascii="Arial" w:eastAsia="Times New Roman" w:hAnsi="Arial" w:cs="Arial"/>
          <w:sz w:val="22"/>
          <w:szCs w:val="22"/>
          <w:lang w:eastAsia="pl-PL"/>
        </w:rPr>
        <w:t xml:space="preserve"> wysokość ryczałtu w kolejnych  okresach to najskuteczniejsze działanie mające wpływ na zyskowność sprzedaży świadczeń w ramach ryczałtu.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34BF2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Ponieważ w ramach odbudowy zdrowia publicznego po pandemii szpitale przekraczające plan świadczeń w ramach ryczałtu otrzymały </w:t>
      </w:r>
      <w:r w:rsidR="001F35DA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w roku 2022 </w:t>
      </w:r>
      <w:r w:rsidR="00B34BF2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zapłatę w wysokości 60% </w:t>
      </w:r>
      <w:proofErr w:type="spellStart"/>
      <w:r w:rsidR="00B34BF2" w:rsidRPr="002B1388">
        <w:rPr>
          <w:rFonts w:ascii="Arial" w:hAnsi="Arial" w:cs="Arial"/>
          <w:sz w:val="22"/>
          <w:szCs w:val="22"/>
          <w:shd w:val="clear" w:color="auto" w:fill="FFFFFF"/>
        </w:rPr>
        <w:t>nadwykonań</w:t>
      </w:r>
      <w:proofErr w:type="spellEnd"/>
      <w:r w:rsidR="00B34BF2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, warto podjąć ryzyko zwiększenia realizacji </w:t>
      </w:r>
      <w:r w:rsidR="0052381B" w:rsidRPr="002B1388">
        <w:rPr>
          <w:rFonts w:ascii="Arial" w:hAnsi="Arial" w:cs="Arial"/>
          <w:sz w:val="22"/>
          <w:szCs w:val="22"/>
          <w:shd w:val="clear" w:color="auto" w:fill="FFFFFF"/>
        </w:rPr>
        <w:t>świadczeń co da szansę na wzrost tego zakresu już w bieżącym roku.</w:t>
      </w:r>
    </w:p>
    <w:p w14:paraId="78E29087" w14:textId="205E6C49" w:rsidR="002B25C3" w:rsidRPr="002B1388" w:rsidRDefault="00FE697D" w:rsidP="00DD44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Posiadane zasoby Szpitala dają możliwość 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większej 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realizacji świadczeń 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odrębnie finansowanych 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płaconych bez ograniczeń przez NFZ. Do takich 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>świadczeń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 można zalicz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>yć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lastRenderedPageBreak/>
        <w:t>endoprotezoplastykę stawu biodrowego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, gastroskopię i </w:t>
      </w:r>
      <w:proofErr w:type="spellStart"/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>kolonoskopię</w:t>
      </w:r>
      <w:proofErr w:type="spellEnd"/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Planowane zwiększenie zabiegów o 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0% w stosunku do roku 2022 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>wydaje się być</w:t>
      </w:r>
      <w:r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 niezagrożone</w:t>
      </w:r>
      <w:r w:rsidR="00DD4445" w:rsidRPr="002B1388">
        <w:rPr>
          <w:rFonts w:ascii="Arial" w:hAnsi="Arial" w:cs="Arial"/>
          <w:sz w:val="22"/>
          <w:szCs w:val="22"/>
          <w:shd w:val="clear" w:color="auto" w:fill="FFFFFF"/>
        </w:rPr>
        <w:t>, pod warunkiem ciągłego monitoringu realizacji umów</w:t>
      </w:r>
      <w:r w:rsidR="002B25C3" w:rsidRPr="002B1388">
        <w:rPr>
          <w:rFonts w:ascii="Arial" w:hAnsi="Arial" w:cs="Arial"/>
          <w:sz w:val="22"/>
          <w:szCs w:val="22"/>
          <w:shd w:val="clear" w:color="auto" w:fill="FFFFFF"/>
        </w:rPr>
        <w:t xml:space="preserve">. Zastąpienie części hospitalizacji leczeniem ambulatoryjnym oraz ograniczenie powtórnych hospitalizacji w ciągu 30 dni znacznie obniży koszty realizacji kontraktu NFZ  </w:t>
      </w:r>
      <w:r w:rsidR="002B25C3" w:rsidRPr="002B1388">
        <w:rPr>
          <w:rFonts w:ascii="Arial" w:hAnsi="Arial" w:cs="Arial"/>
          <w:sz w:val="22"/>
          <w:szCs w:val="22"/>
        </w:rPr>
        <w:t xml:space="preserve"> finansowego ryczałtowo.</w:t>
      </w:r>
    </w:p>
    <w:p w14:paraId="761FDFFB" w14:textId="77777777" w:rsidR="00BE067F" w:rsidRPr="002B1388" w:rsidRDefault="00BE067F" w:rsidP="00BE067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ACF5B60" w14:textId="1D7E4FB6" w:rsidR="00FE697D" w:rsidRPr="002B1388" w:rsidRDefault="00FE697D" w:rsidP="00FE697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t>Przedstawione powyżej działania nie wyczerpują listy zadań, które powinny zostać zrealizowane. Na podstawie przedstawionych działań przyjęto scenariusz realny, skoncentrowany na działaniach o charakterze głównie miękkim, obejmujących zwiększenie przychodów bez ponoszenia dodatkowych znaczących nakładów.</w:t>
      </w:r>
    </w:p>
    <w:p w14:paraId="2B305048" w14:textId="77777777" w:rsidR="00520D5E" w:rsidRDefault="00520D5E" w:rsidP="00FE697D">
      <w:pPr>
        <w:spacing w:line="360" w:lineRule="auto"/>
        <w:ind w:firstLine="709"/>
        <w:jc w:val="both"/>
        <w:rPr>
          <w:rFonts w:ascii="Aptos" w:hAnsi="Aptos"/>
        </w:rPr>
      </w:pPr>
    </w:p>
    <w:p w14:paraId="524BB48A" w14:textId="343D926C" w:rsidR="007033E9" w:rsidRPr="002B1388" w:rsidRDefault="00520D5E" w:rsidP="007033E9">
      <w:pPr>
        <w:spacing w:line="360" w:lineRule="auto"/>
        <w:jc w:val="both"/>
        <w:rPr>
          <w:rFonts w:ascii="Arial" w:hAnsi="Arial" w:cs="Arial"/>
          <w:u w:val="single"/>
        </w:rPr>
      </w:pPr>
      <w:r w:rsidRPr="002B1388">
        <w:rPr>
          <w:rFonts w:ascii="Arial" w:hAnsi="Arial" w:cs="Arial"/>
          <w:bCs/>
          <w:u w:val="single"/>
          <w:lang w:eastAsia="pl-PL"/>
        </w:rPr>
        <w:t>Planowane efekty wdrożenia programu naprawczego</w:t>
      </w:r>
    </w:p>
    <w:p w14:paraId="407621D5" w14:textId="6BD3D4B3" w:rsidR="007033E9" w:rsidRDefault="00520D5E" w:rsidP="007033E9">
      <w:pPr>
        <w:spacing w:line="360" w:lineRule="auto"/>
        <w:jc w:val="both"/>
        <w:rPr>
          <w:rFonts w:ascii="Aptos" w:hAnsi="Aptos"/>
        </w:rPr>
      </w:pPr>
      <w:r w:rsidRPr="00520D5E">
        <w:drawing>
          <wp:inline distT="0" distB="0" distL="0" distR="0" wp14:anchorId="5182646B" wp14:editId="2BEEFDC1">
            <wp:extent cx="5760720" cy="1531620"/>
            <wp:effectExtent l="0" t="0" r="0" b="0"/>
            <wp:docPr id="142759553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2463" w14:textId="1C92EA9D" w:rsidR="00EF48C2" w:rsidRDefault="00EF48C2" w:rsidP="00EF48C2">
      <w:pPr>
        <w:spacing w:line="360" w:lineRule="auto"/>
        <w:jc w:val="both"/>
        <w:rPr>
          <w:rFonts w:ascii="Aptos" w:hAnsi="Aptos"/>
        </w:rPr>
      </w:pPr>
    </w:p>
    <w:p w14:paraId="669C99DA" w14:textId="77777777" w:rsidR="002B1388" w:rsidRDefault="002B1388" w:rsidP="00EF48C2">
      <w:pPr>
        <w:spacing w:line="360" w:lineRule="auto"/>
        <w:jc w:val="both"/>
        <w:rPr>
          <w:rFonts w:ascii="Aptos" w:hAnsi="Aptos"/>
        </w:rPr>
      </w:pPr>
    </w:p>
    <w:p w14:paraId="1588AB8B" w14:textId="77777777" w:rsidR="002B1388" w:rsidRDefault="002B1388" w:rsidP="00EF48C2">
      <w:pPr>
        <w:spacing w:line="360" w:lineRule="auto"/>
        <w:jc w:val="both"/>
        <w:rPr>
          <w:rFonts w:ascii="Aptos" w:hAnsi="Aptos"/>
        </w:rPr>
      </w:pPr>
    </w:p>
    <w:p w14:paraId="53B2733B" w14:textId="77777777" w:rsidR="002B1388" w:rsidRDefault="002B1388" w:rsidP="00EF48C2">
      <w:pPr>
        <w:spacing w:line="360" w:lineRule="auto"/>
        <w:jc w:val="both"/>
        <w:rPr>
          <w:rFonts w:ascii="Aptos" w:hAnsi="Aptos"/>
        </w:rPr>
      </w:pPr>
    </w:p>
    <w:p w14:paraId="70838198" w14:textId="77777777" w:rsidR="002B1388" w:rsidRDefault="002B1388" w:rsidP="00EF48C2">
      <w:pPr>
        <w:spacing w:line="360" w:lineRule="auto"/>
        <w:jc w:val="both"/>
        <w:rPr>
          <w:rFonts w:ascii="Aptos" w:hAnsi="Aptos"/>
        </w:rPr>
      </w:pPr>
    </w:p>
    <w:p w14:paraId="72321FD7" w14:textId="77777777" w:rsidR="002B1388" w:rsidRDefault="002B1388" w:rsidP="00EF48C2">
      <w:pPr>
        <w:spacing w:line="360" w:lineRule="auto"/>
        <w:jc w:val="both"/>
        <w:rPr>
          <w:rFonts w:ascii="Aptos" w:hAnsi="Aptos"/>
        </w:rPr>
      </w:pPr>
    </w:p>
    <w:p w14:paraId="6F4A5B67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556A0F34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0F4DDEA3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1D4DA766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0BF0F2D5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68A102E5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022EAAC6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463BA7E0" w14:textId="77777777" w:rsidR="00530CA6" w:rsidRDefault="00530CA6" w:rsidP="00EF48C2">
      <w:pPr>
        <w:spacing w:line="360" w:lineRule="auto"/>
        <w:jc w:val="both"/>
        <w:rPr>
          <w:rFonts w:ascii="Aptos" w:hAnsi="Aptos"/>
        </w:rPr>
      </w:pPr>
    </w:p>
    <w:p w14:paraId="7D2FF85A" w14:textId="77777777" w:rsidR="002B1388" w:rsidRDefault="002B1388" w:rsidP="00EF48C2">
      <w:pPr>
        <w:spacing w:line="360" w:lineRule="auto"/>
        <w:jc w:val="both"/>
        <w:rPr>
          <w:rFonts w:ascii="Aptos" w:hAnsi="Aptos"/>
        </w:rPr>
      </w:pPr>
    </w:p>
    <w:p w14:paraId="58E0C722" w14:textId="0C52A0F3" w:rsidR="00131E1C" w:rsidRPr="002B1388" w:rsidRDefault="00520D5E" w:rsidP="00EF48C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B1388">
        <w:rPr>
          <w:rFonts w:ascii="Arial" w:hAnsi="Arial" w:cs="Arial"/>
          <w:b/>
          <w:bCs/>
          <w:sz w:val="28"/>
          <w:szCs w:val="28"/>
        </w:rPr>
        <w:lastRenderedPageBreak/>
        <w:t>Prognoza sytuacji ekonomiczno-finansowej na podstawie wskaźników ekonomiczno-finansowych (raport o sytuacji ekonomiczno-finansowej samodzielnego publicznego zakładu opieki zdrowotnej) z uwzględnieniem skutków działań naprawczych wynikających z programu naprawczego wdrażanego w roku 2023.</w:t>
      </w:r>
    </w:p>
    <w:p w14:paraId="5108BA29" w14:textId="77777777" w:rsidR="00131E1C" w:rsidRDefault="00131E1C" w:rsidP="00EF48C2">
      <w:pPr>
        <w:spacing w:line="360" w:lineRule="auto"/>
        <w:jc w:val="both"/>
        <w:rPr>
          <w:rFonts w:ascii="Aptos" w:hAnsi="Aptos"/>
        </w:rPr>
      </w:pPr>
    </w:p>
    <w:p w14:paraId="18BE9BAE" w14:textId="01AABAA0" w:rsidR="00131E1C" w:rsidRPr="002B1388" w:rsidRDefault="005B0235" w:rsidP="005B023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t>Na potrzeby niniejszego opracowania zaktualizowano dane z raportu o sytuacji ekonomiczno- finansowej samodzielnego publicznego zakładu opieki zdrowotnej dotyczące roku 2023.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124"/>
        <w:gridCol w:w="1119"/>
        <w:gridCol w:w="1119"/>
        <w:gridCol w:w="1119"/>
        <w:gridCol w:w="1119"/>
      </w:tblGrid>
      <w:tr w:rsidR="00997352" w:rsidRPr="00997352" w14:paraId="2EBBBC41" w14:textId="77777777" w:rsidTr="00997352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733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Dane wskaźnikowe z uwzględnieniem programu naprawczego na rok 2023 (porównanie)</w:t>
            </w:r>
          </w:p>
        </w:tc>
      </w:tr>
      <w:tr w:rsidR="00997352" w:rsidRPr="00997352" w14:paraId="1D090D2F" w14:textId="77777777" w:rsidTr="00997352">
        <w:trPr>
          <w:trHeight w:val="30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373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AD0" w14:textId="77777777" w:rsidR="00997352" w:rsidRPr="00997352" w:rsidRDefault="00997352" w:rsidP="009973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71B" w14:textId="77777777" w:rsidR="00997352" w:rsidRPr="00997352" w:rsidRDefault="00997352" w:rsidP="009973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C9B" w14:textId="77777777" w:rsidR="00997352" w:rsidRPr="00997352" w:rsidRDefault="00997352" w:rsidP="009973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802F" w14:textId="77777777" w:rsidR="00997352" w:rsidRPr="00997352" w:rsidRDefault="00997352" w:rsidP="009973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7E0" w14:textId="77777777" w:rsidR="00997352" w:rsidRPr="00997352" w:rsidRDefault="00997352" w:rsidP="009973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7352" w:rsidRPr="00997352" w14:paraId="395C3C01" w14:textId="77777777" w:rsidTr="00997352">
        <w:trPr>
          <w:trHeight w:val="300"/>
        </w:trPr>
        <w:tc>
          <w:tcPr>
            <w:tcW w:w="1362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F4B919F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170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111E80E4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Wskaźniki</w:t>
            </w:r>
          </w:p>
        </w:tc>
        <w:tc>
          <w:tcPr>
            <w:tcW w:w="1234" w:type="pct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A4375AE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3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14:paraId="69067FA8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  <w:t>2023 -program</w:t>
            </w:r>
          </w:p>
        </w:tc>
      </w:tr>
      <w:tr w:rsidR="00997352" w:rsidRPr="00997352" w14:paraId="1ABCE518" w14:textId="77777777" w:rsidTr="00997352">
        <w:trPr>
          <w:trHeight w:val="492"/>
        </w:trPr>
        <w:tc>
          <w:tcPr>
            <w:tcW w:w="1362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6C264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0C2981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A11607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0D6CE0D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BBBD0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14:paraId="7650F466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18"/>
                <w:szCs w:val="18"/>
                <w:lang w:eastAsia="pl-PL"/>
              </w:rPr>
              <w:t>Ilość punktów</w:t>
            </w:r>
          </w:p>
        </w:tc>
      </w:tr>
      <w:tr w:rsidR="00997352" w:rsidRPr="00997352" w14:paraId="0C23E184" w14:textId="77777777" w:rsidTr="00997352">
        <w:trPr>
          <w:trHeight w:val="864"/>
        </w:trPr>
        <w:tc>
          <w:tcPr>
            <w:tcW w:w="1362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5BAD7CE5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I. WSKAŹNIKI ZYSKOWNOŚCI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D395B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 xml:space="preserve">Wskaźnik zyskowności  netto  (%)                                                          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1B92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-4,32%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7CC5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450B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-0,79%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4C88AB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  <w:t>0</w:t>
            </w:r>
          </w:p>
        </w:tc>
      </w:tr>
      <w:tr w:rsidR="00997352" w:rsidRPr="00997352" w14:paraId="0A3E930D" w14:textId="77777777" w:rsidTr="00997352">
        <w:trPr>
          <w:trHeight w:val="1152"/>
        </w:trPr>
        <w:tc>
          <w:tcPr>
            <w:tcW w:w="1362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F2CD0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719AE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 xml:space="preserve">Wskaźnik zyskowności działalności operacyjnej (%)            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F430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-5,77%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4B653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C4F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-2,13%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3D7858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0</w:t>
            </w:r>
          </w:p>
        </w:tc>
      </w:tr>
      <w:tr w:rsidR="00997352" w:rsidRPr="00997352" w14:paraId="2CFF1651" w14:textId="77777777" w:rsidTr="00997352">
        <w:trPr>
          <w:trHeight w:val="876"/>
        </w:trPr>
        <w:tc>
          <w:tcPr>
            <w:tcW w:w="1362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0D5A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EEF2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Wskaźnik zyskowność aktywów (%)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64B2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color w:val="000000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color w:val="000000"/>
                <w:sz w:val="22"/>
                <w:szCs w:val="22"/>
                <w:lang w:eastAsia="pl-PL"/>
              </w:rPr>
              <w:t>-4,87%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AF601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4939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color w:val="000000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color w:val="000000"/>
                <w:sz w:val="22"/>
                <w:szCs w:val="22"/>
                <w:lang w:eastAsia="pl-PL"/>
              </w:rPr>
              <w:t>-0,90%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01E6C6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0</w:t>
            </w:r>
          </w:p>
        </w:tc>
      </w:tr>
      <w:tr w:rsidR="00997352" w:rsidRPr="00997352" w14:paraId="6AE96B9B" w14:textId="77777777" w:rsidTr="00997352">
        <w:trPr>
          <w:trHeight w:val="300"/>
        </w:trPr>
        <w:tc>
          <w:tcPr>
            <w:tcW w:w="2532" w:type="pct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F9D7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A0893D5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61C2D57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2045014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969696"/>
            <w:vAlign w:val="center"/>
            <w:hideMark/>
          </w:tcPr>
          <w:p w14:paraId="6A80D146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997352" w:rsidRPr="00997352" w14:paraId="7711DFC4" w14:textId="77777777" w:rsidTr="00997352">
        <w:trPr>
          <w:trHeight w:val="300"/>
        </w:trPr>
        <w:tc>
          <w:tcPr>
            <w:tcW w:w="136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1F8D8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440B8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3D345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CE4CA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21ACA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AA5F2B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97352" w:rsidRPr="00997352" w14:paraId="41A7EA3B" w14:textId="77777777" w:rsidTr="00997352">
        <w:trPr>
          <w:trHeight w:val="576"/>
        </w:trPr>
        <w:tc>
          <w:tcPr>
            <w:tcW w:w="1362" w:type="pct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03C258AB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II. WSKAŹNIKI PŁYNNOŚCI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05257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 xml:space="preserve">Wskaźnik bieżącej płynności                                           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29D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4,97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8172B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6FD6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5,33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F84CD2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</w:tr>
      <w:tr w:rsidR="00997352" w:rsidRPr="00997352" w14:paraId="17CA2F28" w14:textId="77777777" w:rsidTr="00997352">
        <w:trPr>
          <w:trHeight w:val="588"/>
        </w:trPr>
        <w:tc>
          <w:tcPr>
            <w:tcW w:w="136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1C062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E5F78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Wskaźnik szybkiej płynności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5FB3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4,87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13F73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E7E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5,24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A4F150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</w:tr>
      <w:tr w:rsidR="00997352" w:rsidRPr="00997352" w14:paraId="71B50D10" w14:textId="77777777" w:rsidTr="00997352">
        <w:trPr>
          <w:trHeight w:val="300"/>
        </w:trPr>
        <w:tc>
          <w:tcPr>
            <w:tcW w:w="2532" w:type="pct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C1A3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A345538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04B6185E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58D18B83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969696"/>
            <w:vAlign w:val="center"/>
            <w:hideMark/>
          </w:tcPr>
          <w:p w14:paraId="79E217B9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20</w:t>
            </w:r>
          </w:p>
        </w:tc>
      </w:tr>
      <w:tr w:rsidR="00997352" w:rsidRPr="00997352" w14:paraId="0A587BA9" w14:textId="77777777" w:rsidTr="00997352">
        <w:trPr>
          <w:trHeight w:val="300"/>
        </w:trPr>
        <w:tc>
          <w:tcPr>
            <w:tcW w:w="136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1E91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6EF9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3F8A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7F5A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8106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BCC182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 </w:t>
            </w:r>
          </w:p>
        </w:tc>
      </w:tr>
      <w:tr w:rsidR="00997352" w:rsidRPr="00997352" w14:paraId="4E5C1553" w14:textId="77777777" w:rsidTr="00997352">
        <w:trPr>
          <w:trHeight w:val="864"/>
        </w:trPr>
        <w:tc>
          <w:tcPr>
            <w:tcW w:w="1362" w:type="pct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F8CB74A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III. WSKAŹNIKI EFEKTYWNOŚCI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09B3A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 xml:space="preserve">Wskaźnik rotacji należności                                     (w dniach)                           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7F7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D4AD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8A8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A55FE0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3</w:t>
            </w:r>
          </w:p>
        </w:tc>
      </w:tr>
      <w:tr w:rsidR="00997352" w:rsidRPr="00997352" w14:paraId="1E744ADB" w14:textId="77777777" w:rsidTr="00997352">
        <w:trPr>
          <w:trHeight w:val="876"/>
        </w:trPr>
        <w:tc>
          <w:tcPr>
            <w:tcW w:w="136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B0225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E1BFB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Wskaźnik rotacji zobowiązań                                          (w dniach)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6484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11138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F15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3CCC3F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7</w:t>
            </w:r>
          </w:p>
        </w:tc>
      </w:tr>
      <w:tr w:rsidR="00997352" w:rsidRPr="00997352" w14:paraId="786F4727" w14:textId="77777777" w:rsidTr="00997352">
        <w:trPr>
          <w:trHeight w:val="300"/>
        </w:trPr>
        <w:tc>
          <w:tcPr>
            <w:tcW w:w="2532" w:type="pct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6F59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784A796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71E01E0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553AED27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969696"/>
            <w:vAlign w:val="center"/>
            <w:hideMark/>
          </w:tcPr>
          <w:p w14:paraId="50A8D7E5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997352" w:rsidRPr="00997352" w14:paraId="0BFEC8E5" w14:textId="77777777" w:rsidTr="00997352">
        <w:trPr>
          <w:trHeight w:val="324"/>
        </w:trPr>
        <w:tc>
          <w:tcPr>
            <w:tcW w:w="136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0A3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596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6CAB" w14:textId="77777777" w:rsidR="00997352" w:rsidRPr="00997352" w:rsidRDefault="00997352" w:rsidP="009973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BBA8" w14:textId="77777777" w:rsidR="00997352" w:rsidRPr="00997352" w:rsidRDefault="00997352" w:rsidP="009973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E635" w14:textId="77777777" w:rsidR="00997352" w:rsidRPr="00997352" w:rsidRDefault="00997352" w:rsidP="009973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9778B6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lang w:eastAsia="pl-PL"/>
              </w:rPr>
              <w:t> </w:t>
            </w:r>
          </w:p>
        </w:tc>
      </w:tr>
      <w:tr w:rsidR="00997352" w:rsidRPr="00997352" w14:paraId="6BF0881F" w14:textId="77777777" w:rsidTr="00997352">
        <w:trPr>
          <w:trHeight w:val="864"/>
        </w:trPr>
        <w:tc>
          <w:tcPr>
            <w:tcW w:w="1362" w:type="pct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486DA673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lastRenderedPageBreak/>
              <w:t>IV. WSKAŹNIKI ZADŁUŻENIA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75887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 xml:space="preserve">Wskaźnik zadłużenia aktywów (%)                          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937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15%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321D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FAE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15%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C4B214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</w:tr>
      <w:tr w:rsidR="00997352" w:rsidRPr="00997352" w14:paraId="3B20C860" w14:textId="77777777" w:rsidTr="00997352">
        <w:trPr>
          <w:trHeight w:val="588"/>
        </w:trPr>
        <w:tc>
          <w:tcPr>
            <w:tcW w:w="136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30BD2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922D2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Wskaźnik wypłacalności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096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0,30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DFC5B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BEF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0,28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EBE799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2"/>
                <w:szCs w:val="22"/>
                <w:lang w:eastAsia="pl-PL"/>
              </w:rPr>
              <w:t>10</w:t>
            </w:r>
          </w:p>
        </w:tc>
      </w:tr>
      <w:tr w:rsidR="00997352" w:rsidRPr="00997352" w14:paraId="2A768232" w14:textId="77777777" w:rsidTr="00997352">
        <w:trPr>
          <w:trHeight w:val="300"/>
        </w:trPr>
        <w:tc>
          <w:tcPr>
            <w:tcW w:w="2532" w:type="pct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3E503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576591A2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E90E344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476BABBA" w14:textId="77777777" w:rsidR="00997352" w:rsidRPr="00997352" w:rsidRDefault="00997352" w:rsidP="00997352">
            <w:pPr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969696"/>
            <w:vAlign w:val="center"/>
            <w:hideMark/>
          </w:tcPr>
          <w:p w14:paraId="08A7DA83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20</w:t>
            </w:r>
          </w:p>
        </w:tc>
      </w:tr>
      <w:tr w:rsidR="00997352" w:rsidRPr="00997352" w14:paraId="1BDC98CD" w14:textId="77777777" w:rsidTr="00997352">
        <w:trPr>
          <w:trHeight w:val="324"/>
        </w:trPr>
        <w:tc>
          <w:tcPr>
            <w:tcW w:w="136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142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  <w:r w:rsidRPr="00997352"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354" w14:textId="77777777" w:rsidR="00997352" w:rsidRPr="00997352" w:rsidRDefault="00997352" w:rsidP="00997352">
            <w:pPr>
              <w:rPr>
                <w:rFonts w:ascii="Aptos" w:eastAsia="Times New Roman" w:hAnsi="Aptos" w:cs="Calibr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C9C1" w14:textId="77777777" w:rsidR="00997352" w:rsidRPr="00997352" w:rsidRDefault="00997352" w:rsidP="009973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BB97" w14:textId="77777777" w:rsidR="00997352" w:rsidRPr="00997352" w:rsidRDefault="00997352" w:rsidP="009973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ED2" w14:textId="77777777" w:rsidR="00997352" w:rsidRPr="00997352" w:rsidRDefault="00997352" w:rsidP="009973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43EDE" w14:textId="77777777" w:rsidR="00997352" w:rsidRPr="00997352" w:rsidRDefault="00997352" w:rsidP="00997352">
            <w:pPr>
              <w:rPr>
                <w:rFonts w:ascii="Aptos" w:eastAsia="Times New Roman" w:hAnsi="Aptos" w:cs="Calibri"/>
                <w:lang w:eastAsia="pl-PL"/>
              </w:rPr>
            </w:pPr>
            <w:r w:rsidRPr="00997352">
              <w:rPr>
                <w:rFonts w:ascii="Aptos" w:eastAsia="Times New Roman" w:hAnsi="Aptos" w:cs="Calibri"/>
                <w:lang w:eastAsia="pl-PL"/>
              </w:rPr>
              <w:t> </w:t>
            </w:r>
          </w:p>
        </w:tc>
      </w:tr>
      <w:tr w:rsidR="00997352" w:rsidRPr="00997352" w14:paraId="21C4860F" w14:textId="77777777" w:rsidTr="00997352">
        <w:trPr>
          <w:trHeight w:val="300"/>
        </w:trPr>
        <w:tc>
          <w:tcPr>
            <w:tcW w:w="2532" w:type="pct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8DEB541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Łączna wartość punktów</w:t>
            </w: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2DC7514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14:paraId="2E843A7C" w14:textId="77777777" w:rsidR="00997352" w:rsidRPr="00997352" w:rsidRDefault="00997352" w:rsidP="00997352">
            <w:pPr>
              <w:jc w:val="center"/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</w:pPr>
            <w:r w:rsidRPr="00997352">
              <w:rPr>
                <w:rFonts w:ascii="Aptos" w:eastAsia="Times New Roman" w:hAnsi="Aptos" w:cs="Calibri"/>
                <w:b/>
                <w:bCs/>
                <w:sz w:val="22"/>
                <w:szCs w:val="22"/>
                <w:lang w:eastAsia="pl-PL"/>
              </w:rPr>
              <w:t>50</w:t>
            </w:r>
          </w:p>
        </w:tc>
      </w:tr>
    </w:tbl>
    <w:p w14:paraId="618D4F65" w14:textId="77777777" w:rsidR="00997352" w:rsidRDefault="00997352" w:rsidP="005B0235">
      <w:pPr>
        <w:spacing w:line="360" w:lineRule="auto"/>
        <w:ind w:firstLine="709"/>
        <w:jc w:val="both"/>
        <w:rPr>
          <w:rFonts w:ascii="Aptos" w:hAnsi="Aptos"/>
        </w:rPr>
      </w:pPr>
    </w:p>
    <w:p w14:paraId="7921D8C1" w14:textId="1A9F249C" w:rsidR="00997352" w:rsidRPr="002B1388" w:rsidRDefault="00997352" w:rsidP="005B023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t xml:space="preserve">Opracowując program naprawczy założono, że w przypadku nie wdrożenia działań naprawczych w roku 2023 Szpital osiągnąłby stratę finansową na poziomie (-) 4.742.120 zł. </w:t>
      </w:r>
      <w:r w:rsidR="0096172A" w:rsidRPr="002B1388">
        <w:rPr>
          <w:rFonts w:ascii="Arial" w:hAnsi="Arial" w:cs="Arial"/>
          <w:sz w:val="22"/>
          <w:szCs w:val="22"/>
        </w:rPr>
        <w:t>Po w</w:t>
      </w:r>
      <w:r w:rsidRPr="002B1388">
        <w:rPr>
          <w:rFonts w:ascii="Arial" w:hAnsi="Arial" w:cs="Arial"/>
          <w:sz w:val="22"/>
          <w:szCs w:val="22"/>
        </w:rPr>
        <w:t>dr</w:t>
      </w:r>
      <w:r w:rsidR="0096172A" w:rsidRPr="002B1388">
        <w:rPr>
          <w:rFonts w:ascii="Arial" w:hAnsi="Arial" w:cs="Arial"/>
          <w:sz w:val="22"/>
          <w:szCs w:val="22"/>
        </w:rPr>
        <w:t>ożeniu</w:t>
      </w:r>
      <w:r w:rsidRPr="002B1388">
        <w:rPr>
          <w:rFonts w:ascii="Arial" w:hAnsi="Arial" w:cs="Arial"/>
          <w:sz w:val="22"/>
          <w:szCs w:val="22"/>
        </w:rPr>
        <w:t xml:space="preserve"> opisan</w:t>
      </w:r>
      <w:r w:rsidR="0096172A" w:rsidRPr="002B1388">
        <w:rPr>
          <w:rFonts w:ascii="Arial" w:hAnsi="Arial" w:cs="Arial"/>
          <w:sz w:val="22"/>
          <w:szCs w:val="22"/>
        </w:rPr>
        <w:t>ych</w:t>
      </w:r>
      <w:r w:rsidRPr="002B1388">
        <w:rPr>
          <w:rFonts w:ascii="Arial" w:hAnsi="Arial" w:cs="Arial"/>
          <w:sz w:val="22"/>
          <w:szCs w:val="22"/>
        </w:rPr>
        <w:t xml:space="preserve"> działa</w:t>
      </w:r>
      <w:r w:rsidR="0096172A" w:rsidRPr="002B1388">
        <w:rPr>
          <w:rFonts w:ascii="Arial" w:hAnsi="Arial" w:cs="Arial"/>
          <w:sz w:val="22"/>
          <w:szCs w:val="22"/>
        </w:rPr>
        <w:t>ń</w:t>
      </w:r>
      <w:r w:rsidRPr="002B1388">
        <w:rPr>
          <w:rFonts w:ascii="Arial" w:hAnsi="Arial" w:cs="Arial"/>
          <w:sz w:val="22"/>
          <w:szCs w:val="22"/>
        </w:rPr>
        <w:t xml:space="preserve"> napraw</w:t>
      </w:r>
      <w:r w:rsidR="0096172A" w:rsidRPr="002B1388">
        <w:rPr>
          <w:rFonts w:ascii="Arial" w:hAnsi="Arial" w:cs="Arial"/>
          <w:sz w:val="22"/>
          <w:szCs w:val="22"/>
        </w:rPr>
        <w:t>czych</w:t>
      </w:r>
      <w:r w:rsidRPr="002B1388">
        <w:rPr>
          <w:rFonts w:ascii="Arial" w:hAnsi="Arial" w:cs="Arial"/>
          <w:sz w:val="22"/>
          <w:szCs w:val="22"/>
        </w:rPr>
        <w:t xml:space="preserve">  rok 2023 </w:t>
      </w:r>
      <w:r w:rsidR="0096172A" w:rsidRPr="002B1388">
        <w:rPr>
          <w:rFonts w:ascii="Arial" w:hAnsi="Arial" w:cs="Arial"/>
          <w:sz w:val="22"/>
          <w:szCs w:val="22"/>
        </w:rPr>
        <w:t>mógłby zamknąć się dużo niższą stratą w wysokości (-) 892.120 zł.</w:t>
      </w:r>
    </w:p>
    <w:p w14:paraId="11DE14CB" w14:textId="74C98865" w:rsidR="0096172A" w:rsidRPr="002B1388" w:rsidRDefault="0096172A" w:rsidP="005B023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t xml:space="preserve">Dzięki działaniom naprawczym analiza wskaźnikowa jednostki  opracowana na podstawie wytycznych Ministra Zdrowia przedstawia się jak w powyższej tabeli. Wskaźniki efektywności i wskaźniki zadłużenia są na identycznych poziomach i osiągają najwyższe możliwe wartości.  Wzrastają wskaźniki płynności, bez wpływu jednak na wartość punktową. Ze względu na ujemny wynik finansowy wskaźniki zyskowności </w:t>
      </w:r>
      <w:r w:rsidR="001E0011" w:rsidRPr="002B1388">
        <w:rPr>
          <w:rFonts w:ascii="Arial" w:hAnsi="Arial" w:cs="Arial"/>
          <w:sz w:val="22"/>
          <w:szCs w:val="22"/>
        </w:rPr>
        <w:t>przyjmują wartości ujemne i w tym obszarze jednostka nie uzyskuje punktów.</w:t>
      </w:r>
    </w:p>
    <w:p w14:paraId="0AC8DCB2" w14:textId="77777777" w:rsidR="001E0011" w:rsidRDefault="001E0011" w:rsidP="00EF48C2">
      <w:pPr>
        <w:spacing w:line="360" w:lineRule="auto"/>
        <w:jc w:val="both"/>
        <w:rPr>
          <w:rFonts w:ascii="Aptos" w:hAnsi="Aptos"/>
        </w:rPr>
      </w:pPr>
    </w:p>
    <w:p w14:paraId="54D9FB25" w14:textId="34578C48" w:rsidR="00AF1671" w:rsidRDefault="00EF48C2" w:rsidP="00EF48C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1388">
        <w:rPr>
          <w:rFonts w:ascii="Arial" w:hAnsi="Arial" w:cs="Arial"/>
          <w:sz w:val="28"/>
          <w:szCs w:val="28"/>
        </w:rPr>
        <w:t>Podsumowanie</w:t>
      </w:r>
    </w:p>
    <w:p w14:paraId="237EB209" w14:textId="77777777" w:rsidR="002B1388" w:rsidRPr="002B1388" w:rsidRDefault="002B1388" w:rsidP="00EF48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AA7BC8F" w14:textId="5DC829DE" w:rsidR="00AF1671" w:rsidRPr="002B1388" w:rsidRDefault="001E0011" w:rsidP="00AF167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t xml:space="preserve">Szpital Powiatowy im. Władysława Biegańskiego w Iławie </w:t>
      </w:r>
      <w:r w:rsidR="00EF48C2" w:rsidRPr="002B1388">
        <w:rPr>
          <w:rFonts w:ascii="Arial" w:hAnsi="Arial" w:cs="Arial"/>
          <w:sz w:val="22"/>
          <w:szCs w:val="22"/>
        </w:rPr>
        <w:t xml:space="preserve"> pełni z racji na swoje zaplecze oraz</w:t>
      </w:r>
      <w:r w:rsidR="00131E1C"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 xml:space="preserve">potencjał leczniczy, kluczową rolę w </w:t>
      </w:r>
      <w:r w:rsidRPr="002B1388">
        <w:rPr>
          <w:rFonts w:ascii="Arial" w:hAnsi="Arial" w:cs="Arial"/>
          <w:sz w:val="22"/>
          <w:szCs w:val="22"/>
        </w:rPr>
        <w:t>powiecie iławskim</w:t>
      </w:r>
      <w:r w:rsidR="00EF48C2" w:rsidRPr="002B1388">
        <w:rPr>
          <w:rFonts w:ascii="Arial" w:hAnsi="Arial" w:cs="Arial"/>
          <w:sz w:val="22"/>
          <w:szCs w:val="22"/>
        </w:rPr>
        <w:t>, oferując</w:t>
      </w:r>
      <w:r w:rsidR="00131E1C"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 xml:space="preserve">mieszkańcom dostęp do opieki </w:t>
      </w:r>
      <w:r w:rsidR="00AF1671" w:rsidRPr="002B1388">
        <w:rPr>
          <w:rFonts w:ascii="Arial" w:hAnsi="Arial" w:cs="Arial"/>
          <w:sz w:val="22"/>
          <w:szCs w:val="22"/>
        </w:rPr>
        <w:t xml:space="preserve">medycznej podstawowej i </w:t>
      </w:r>
      <w:r w:rsidR="00EF48C2" w:rsidRPr="002B1388">
        <w:rPr>
          <w:rFonts w:ascii="Arial" w:hAnsi="Arial" w:cs="Arial"/>
          <w:sz w:val="22"/>
          <w:szCs w:val="22"/>
        </w:rPr>
        <w:t>specjalistycznej.</w:t>
      </w:r>
      <w:r w:rsidR="00131E1C" w:rsidRPr="002B1388">
        <w:rPr>
          <w:rFonts w:ascii="Arial" w:hAnsi="Arial" w:cs="Arial"/>
          <w:sz w:val="22"/>
          <w:szCs w:val="22"/>
        </w:rPr>
        <w:t xml:space="preserve"> </w:t>
      </w:r>
      <w:r w:rsidR="00AF1671" w:rsidRPr="002B1388">
        <w:rPr>
          <w:rFonts w:ascii="Arial" w:hAnsi="Arial" w:cs="Arial"/>
          <w:sz w:val="22"/>
          <w:szCs w:val="22"/>
        </w:rPr>
        <w:t>D</w:t>
      </w:r>
      <w:r w:rsidR="00AF1671" w:rsidRPr="002B1388">
        <w:rPr>
          <w:rFonts w:ascii="Arial" w:hAnsi="Arial" w:cs="Arial"/>
          <w:sz w:val="22"/>
          <w:szCs w:val="22"/>
        </w:rPr>
        <w:t>ziałani</w:t>
      </w:r>
      <w:r w:rsidR="00AF1671" w:rsidRPr="002B1388">
        <w:rPr>
          <w:rFonts w:ascii="Arial" w:hAnsi="Arial" w:cs="Arial"/>
          <w:sz w:val="22"/>
          <w:szCs w:val="22"/>
        </w:rPr>
        <w:t xml:space="preserve">a naprawcze w chwili obecnej ukierunkowane są na </w:t>
      </w:r>
      <w:r w:rsidR="00AF1671" w:rsidRPr="002B1388">
        <w:rPr>
          <w:rFonts w:ascii="Arial" w:hAnsi="Arial" w:cs="Arial"/>
          <w:sz w:val="22"/>
          <w:szCs w:val="22"/>
        </w:rPr>
        <w:t xml:space="preserve">poszukiwanie </w:t>
      </w:r>
      <w:r w:rsidR="00AF1671" w:rsidRPr="002B1388">
        <w:rPr>
          <w:rFonts w:ascii="Arial" w:hAnsi="Arial" w:cs="Arial"/>
          <w:sz w:val="22"/>
          <w:szCs w:val="22"/>
          <w:u w:val="single"/>
        </w:rPr>
        <w:t>nowych źródeł przychodów jednostki,</w:t>
      </w:r>
      <w:r w:rsidR="00AF1671" w:rsidRPr="002B1388">
        <w:rPr>
          <w:rFonts w:ascii="Arial" w:hAnsi="Arial" w:cs="Arial"/>
          <w:sz w:val="22"/>
          <w:szCs w:val="22"/>
        </w:rPr>
        <w:t xml:space="preserve"> z wykorzystaniem posiadanych zasobów majątkowych i ludzkich. Strategia jednostki będzie koncentrować się na poszerz</w:t>
      </w:r>
      <w:r w:rsidR="00AF1671" w:rsidRPr="002B1388">
        <w:rPr>
          <w:rFonts w:ascii="Arial" w:hAnsi="Arial" w:cs="Arial"/>
          <w:sz w:val="22"/>
          <w:szCs w:val="22"/>
        </w:rPr>
        <w:t>a</w:t>
      </w:r>
      <w:r w:rsidR="00AF1671" w:rsidRPr="002B1388">
        <w:rPr>
          <w:rFonts w:ascii="Arial" w:hAnsi="Arial" w:cs="Arial"/>
          <w:sz w:val="22"/>
          <w:szCs w:val="22"/>
        </w:rPr>
        <w:t>niu zakresu działalności finansowanego ze środków publicznych, tj. pozyskaniu kontraktu z NFZ na nowe świadczenia i powiększ</w:t>
      </w:r>
      <w:r w:rsidR="00AF1671" w:rsidRPr="002B1388">
        <w:rPr>
          <w:rFonts w:ascii="Arial" w:hAnsi="Arial" w:cs="Arial"/>
          <w:sz w:val="22"/>
          <w:szCs w:val="22"/>
        </w:rPr>
        <w:t>a</w:t>
      </w:r>
      <w:r w:rsidR="00AF1671" w:rsidRPr="002B1388">
        <w:rPr>
          <w:rFonts w:ascii="Arial" w:hAnsi="Arial" w:cs="Arial"/>
          <w:sz w:val="22"/>
          <w:szCs w:val="22"/>
        </w:rPr>
        <w:t>niu wartości już zakontraktowanych oraz rozwoju zakresu usług komercyjnych, w oparciu o rozeznanie rynku lokalnego i zdiagnozowanie potrzeb.</w:t>
      </w:r>
    </w:p>
    <w:p w14:paraId="2FE89CD7" w14:textId="29AB9D74" w:rsidR="00AF1671" w:rsidRPr="002B1388" w:rsidRDefault="00AF1671" w:rsidP="00AF167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t>Najważniejszą część działalności jednostki stanowią świadczenia opieki zdrowotnej finansowane ze środków publicznych. Możliwość wpływu na wartość tych świadczeń, ich taryfy i wycenę znajduje się poza kompetencjami i zasięgiem jednostki. Skala problemu wymaga zwiększenia nakładów z budżetu państwa na finansowanie ochrony zdrowia i zmiany sposobu redystrybucji środków finansowych</w:t>
      </w:r>
      <w:r w:rsidRPr="002B1388">
        <w:rPr>
          <w:rFonts w:ascii="Arial" w:hAnsi="Arial" w:cs="Arial"/>
          <w:sz w:val="22"/>
          <w:szCs w:val="22"/>
        </w:rPr>
        <w:t>.</w:t>
      </w:r>
    </w:p>
    <w:p w14:paraId="2FD2128F" w14:textId="3A8484FF" w:rsidR="00EF48C2" w:rsidRPr="002B1388" w:rsidRDefault="00131E1C" w:rsidP="00AF167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lastRenderedPageBreak/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 xml:space="preserve">Sytuacja </w:t>
      </w:r>
      <w:r w:rsidR="00AF1671" w:rsidRPr="002B1388">
        <w:rPr>
          <w:rFonts w:ascii="Arial" w:hAnsi="Arial" w:cs="Arial"/>
          <w:sz w:val="22"/>
          <w:szCs w:val="22"/>
        </w:rPr>
        <w:t>Szpitala Powiatowego w Iławie</w:t>
      </w:r>
      <w:r w:rsidR="00EF48C2" w:rsidRPr="002B1388">
        <w:rPr>
          <w:rFonts w:ascii="Arial" w:hAnsi="Arial" w:cs="Arial"/>
          <w:sz w:val="22"/>
          <w:szCs w:val="22"/>
        </w:rPr>
        <w:t xml:space="preserve"> w dużej mierze zależy od polityki zdrowotnej państwa, a przede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wszystkim sposobu i zakresu finansowanych świadczeń zdrowotnych, głównie szpitalnych oraz AOS.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Wszelkie zmiany w tych założeniach w tym doraźnie narzucane odgórnie rozwiązania destabilizują</w:t>
      </w:r>
      <w:r w:rsidR="00AF1671"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istniejącą sytuację i mogą spowodować diametralną zmianę sensowności i opłacalności przyjętych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rozwiązań w zakresie naprawczym.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Działania naprawcze - jak wyżej - dotyczą planowanej ich realizacji w 202</w:t>
      </w:r>
      <w:r w:rsidR="00AF1671" w:rsidRPr="002B1388">
        <w:rPr>
          <w:rFonts w:ascii="Arial" w:hAnsi="Arial" w:cs="Arial"/>
          <w:sz w:val="22"/>
          <w:szCs w:val="22"/>
        </w:rPr>
        <w:t>3</w:t>
      </w:r>
      <w:r w:rsidR="00EF48C2" w:rsidRPr="002B1388">
        <w:rPr>
          <w:rFonts w:ascii="Arial" w:hAnsi="Arial" w:cs="Arial"/>
          <w:sz w:val="22"/>
          <w:szCs w:val="22"/>
        </w:rPr>
        <w:t xml:space="preserve"> r. Zakłada się, że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zaplanowane działania w 202</w:t>
      </w:r>
      <w:r w:rsidR="00605E1C" w:rsidRPr="002B1388">
        <w:rPr>
          <w:rFonts w:ascii="Arial" w:hAnsi="Arial" w:cs="Arial"/>
          <w:sz w:val="22"/>
          <w:szCs w:val="22"/>
        </w:rPr>
        <w:t>3</w:t>
      </w:r>
      <w:r w:rsidR="00EF48C2" w:rsidRPr="002B1388">
        <w:rPr>
          <w:rFonts w:ascii="Arial" w:hAnsi="Arial" w:cs="Arial"/>
          <w:sz w:val="22"/>
          <w:szCs w:val="22"/>
        </w:rPr>
        <w:t xml:space="preserve"> r. w latach następnych (202</w:t>
      </w:r>
      <w:r w:rsidR="00605E1C" w:rsidRPr="002B1388">
        <w:rPr>
          <w:rFonts w:ascii="Arial" w:hAnsi="Arial" w:cs="Arial"/>
          <w:sz w:val="22"/>
          <w:szCs w:val="22"/>
        </w:rPr>
        <w:t>4</w:t>
      </w:r>
      <w:r w:rsidR="00EF48C2" w:rsidRPr="002B1388">
        <w:rPr>
          <w:rFonts w:ascii="Arial" w:hAnsi="Arial" w:cs="Arial"/>
          <w:sz w:val="22"/>
          <w:szCs w:val="22"/>
        </w:rPr>
        <w:t>-202</w:t>
      </w:r>
      <w:r w:rsidR="00605E1C" w:rsidRPr="002B1388">
        <w:rPr>
          <w:rFonts w:ascii="Arial" w:hAnsi="Arial" w:cs="Arial"/>
          <w:sz w:val="22"/>
          <w:szCs w:val="22"/>
        </w:rPr>
        <w:t>5</w:t>
      </w:r>
      <w:r w:rsidR="00EF48C2" w:rsidRPr="002B1388">
        <w:rPr>
          <w:rFonts w:ascii="Arial" w:hAnsi="Arial" w:cs="Arial"/>
          <w:sz w:val="22"/>
          <w:szCs w:val="22"/>
        </w:rPr>
        <w:t>) mogą być jedynie ich kontynuacją.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Dalsze zwiększanie dostępności do świadczeń poprzez wyższą liczbę usług w kolejnych latach jest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ograniczone ze względu między innymi na posiadane zasoby (liczba łóżek, personel, wyposażenie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w sprzęt i aparaturę medyczną, poziom finansowania).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Należy mieć na uwadze, że zakładane działania naprawcze są w dużej mierze zależne również od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czynników makroekonomicznych, takich jak poziom finansowania świadczeń medycznych przez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Narodowy Fundusz Zdrowia, zmiany przepisów prawa, które bezpośrednio dotyczą Szpital</w:t>
      </w:r>
      <w:r w:rsidR="00605E1C" w:rsidRPr="002B1388">
        <w:rPr>
          <w:rFonts w:ascii="Arial" w:hAnsi="Arial" w:cs="Arial"/>
          <w:sz w:val="22"/>
          <w:szCs w:val="22"/>
        </w:rPr>
        <w:t>a</w:t>
      </w:r>
      <w:r w:rsidR="00EF48C2" w:rsidRPr="002B1388">
        <w:rPr>
          <w:rFonts w:ascii="Arial" w:hAnsi="Arial" w:cs="Arial"/>
          <w:sz w:val="22"/>
          <w:szCs w:val="22"/>
        </w:rPr>
        <w:t>. Tempo oraz realizacja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>poszczególnych zadań uzależnione jest przede wszystkim od zaangażowania pracowników oraz chęci</w:t>
      </w:r>
      <w:r w:rsidRPr="002B1388">
        <w:rPr>
          <w:rFonts w:ascii="Arial" w:hAnsi="Arial" w:cs="Arial"/>
          <w:sz w:val="22"/>
          <w:szCs w:val="22"/>
        </w:rPr>
        <w:t xml:space="preserve"> </w:t>
      </w:r>
      <w:r w:rsidR="00EF48C2" w:rsidRPr="002B1388">
        <w:rPr>
          <w:rFonts w:ascii="Arial" w:hAnsi="Arial" w:cs="Arial"/>
          <w:sz w:val="22"/>
          <w:szCs w:val="22"/>
        </w:rPr>
        <w:t xml:space="preserve">wypracowania konsensusu. </w:t>
      </w:r>
    </w:p>
    <w:p w14:paraId="0674F0FF" w14:textId="304F27C3" w:rsidR="00605E1C" w:rsidRPr="002B1388" w:rsidRDefault="00605E1C" w:rsidP="00AF167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1388">
        <w:rPr>
          <w:rFonts w:ascii="Arial" w:hAnsi="Arial" w:cs="Arial"/>
          <w:sz w:val="22"/>
          <w:szCs w:val="22"/>
        </w:rPr>
        <w:t>Wobec powyższego przy znanych dotychczas w/w zdarzeniach mogących mieć wpływ na sytuację finansową Szpitala na rok 2023 nie zachodzi obawa, co do zagrożenia  kontynuowania działalności i utrzymania stabilizacji finansowej</w:t>
      </w:r>
      <w:r w:rsidRPr="002B1388">
        <w:rPr>
          <w:rFonts w:ascii="Arial" w:hAnsi="Arial" w:cs="Arial"/>
          <w:sz w:val="22"/>
          <w:szCs w:val="22"/>
        </w:rPr>
        <w:t>.</w:t>
      </w:r>
    </w:p>
    <w:sectPr w:rsidR="00605E1C" w:rsidRPr="002B1388" w:rsidSect="009A6F0C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7BE6" w14:textId="77777777" w:rsidR="00DF35FE" w:rsidRDefault="00DF35FE" w:rsidP="009A6F0C">
      <w:r>
        <w:separator/>
      </w:r>
    </w:p>
  </w:endnote>
  <w:endnote w:type="continuationSeparator" w:id="0">
    <w:p w14:paraId="52302308" w14:textId="77777777" w:rsidR="00DF35FE" w:rsidRDefault="00DF35FE" w:rsidP="009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gram Apto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427199"/>
      <w:docPartObj>
        <w:docPartGallery w:val="Page Numbers (Bottom of Page)"/>
        <w:docPartUnique/>
      </w:docPartObj>
    </w:sdtPr>
    <w:sdtContent>
      <w:p w14:paraId="09D0B14C" w14:textId="6B6DAD3B" w:rsidR="009A6F0C" w:rsidRDefault="009A6F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093CC" w14:textId="77777777" w:rsidR="009A6F0C" w:rsidRDefault="009A6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B4B6" w14:textId="77777777" w:rsidR="00DF35FE" w:rsidRDefault="00DF35FE" w:rsidP="009A6F0C">
      <w:r>
        <w:separator/>
      </w:r>
    </w:p>
  </w:footnote>
  <w:footnote w:type="continuationSeparator" w:id="0">
    <w:p w14:paraId="2CB93450" w14:textId="77777777" w:rsidR="00DF35FE" w:rsidRDefault="00DF35FE" w:rsidP="009A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434"/>
    <w:multiLevelType w:val="hybridMultilevel"/>
    <w:tmpl w:val="BCE2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47A4"/>
    <w:multiLevelType w:val="hybridMultilevel"/>
    <w:tmpl w:val="F286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EA6"/>
    <w:multiLevelType w:val="hybridMultilevel"/>
    <w:tmpl w:val="BF88774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11751"/>
    <w:multiLevelType w:val="hybridMultilevel"/>
    <w:tmpl w:val="6A26CCA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CA5CE7"/>
    <w:multiLevelType w:val="hybridMultilevel"/>
    <w:tmpl w:val="CC8C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F6E"/>
    <w:multiLevelType w:val="hybridMultilevel"/>
    <w:tmpl w:val="1CAEB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DD4"/>
    <w:multiLevelType w:val="hybridMultilevel"/>
    <w:tmpl w:val="CA7A37A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51452"/>
    <w:multiLevelType w:val="hybridMultilevel"/>
    <w:tmpl w:val="10E2E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2182"/>
    <w:multiLevelType w:val="hybridMultilevel"/>
    <w:tmpl w:val="CA7A37AC"/>
    <w:lvl w:ilvl="0" w:tplc="211C8A5E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884"/>
    <w:multiLevelType w:val="hybridMultilevel"/>
    <w:tmpl w:val="D96E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0D02"/>
    <w:multiLevelType w:val="hybridMultilevel"/>
    <w:tmpl w:val="FD0082B2"/>
    <w:lvl w:ilvl="0" w:tplc="73A2810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8211">
    <w:abstractNumId w:val="9"/>
  </w:num>
  <w:num w:numId="2" w16cid:durableId="736905646">
    <w:abstractNumId w:val="10"/>
  </w:num>
  <w:num w:numId="3" w16cid:durableId="790173003">
    <w:abstractNumId w:val="8"/>
  </w:num>
  <w:num w:numId="4" w16cid:durableId="15733414">
    <w:abstractNumId w:val="4"/>
  </w:num>
  <w:num w:numId="5" w16cid:durableId="1152333908">
    <w:abstractNumId w:val="5"/>
  </w:num>
  <w:num w:numId="6" w16cid:durableId="1926525399">
    <w:abstractNumId w:val="2"/>
  </w:num>
  <w:num w:numId="7" w16cid:durableId="356859214">
    <w:abstractNumId w:val="3"/>
  </w:num>
  <w:num w:numId="8" w16cid:durableId="1433010373">
    <w:abstractNumId w:val="6"/>
  </w:num>
  <w:num w:numId="9" w16cid:durableId="1457019145">
    <w:abstractNumId w:val="1"/>
  </w:num>
  <w:num w:numId="10" w16cid:durableId="1232472731">
    <w:abstractNumId w:val="7"/>
  </w:num>
  <w:num w:numId="11" w16cid:durableId="174286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0"/>
    <w:rsid w:val="00043C1D"/>
    <w:rsid w:val="0012637B"/>
    <w:rsid w:val="00131E1C"/>
    <w:rsid w:val="00193F71"/>
    <w:rsid w:val="001E0011"/>
    <w:rsid w:val="001F35DA"/>
    <w:rsid w:val="002504EF"/>
    <w:rsid w:val="0026668A"/>
    <w:rsid w:val="002A1F5E"/>
    <w:rsid w:val="002A2806"/>
    <w:rsid w:val="002B1388"/>
    <w:rsid w:val="002B25C3"/>
    <w:rsid w:val="003E17FA"/>
    <w:rsid w:val="0041620C"/>
    <w:rsid w:val="00424409"/>
    <w:rsid w:val="004936E8"/>
    <w:rsid w:val="004A6E6B"/>
    <w:rsid w:val="00520D5E"/>
    <w:rsid w:val="00522E16"/>
    <w:rsid w:val="0052381B"/>
    <w:rsid w:val="00530CA6"/>
    <w:rsid w:val="005B0235"/>
    <w:rsid w:val="005C25A0"/>
    <w:rsid w:val="00605E1C"/>
    <w:rsid w:val="006516A1"/>
    <w:rsid w:val="006F7861"/>
    <w:rsid w:val="007033E9"/>
    <w:rsid w:val="00737563"/>
    <w:rsid w:val="00760BD5"/>
    <w:rsid w:val="007B0D20"/>
    <w:rsid w:val="007B2962"/>
    <w:rsid w:val="00804BAF"/>
    <w:rsid w:val="008378CF"/>
    <w:rsid w:val="008748B6"/>
    <w:rsid w:val="00906F71"/>
    <w:rsid w:val="00913849"/>
    <w:rsid w:val="009575CA"/>
    <w:rsid w:val="0096172A"/>
    <w:rsid w:val="00997352"/>
    <w:rsid w:val="009A0D3E"/>
    <w:rsid w:val="009A6F0C"/>
    <w:rsid w:val="00A87A35"/>
    <w:rsid w:val="00A92D1A"/>
    <w:rsid w:val="00AB7335"/>
    <w:rsid w:val="00AF1671"/>
    <w:rsid w:val="00B34BF2"/>
    <w:rsid w:val="00BC03CB"/>
    <w:rsid w:val="00BE067F"/>
    <w:rsid w:val="00C51EC0"/>
    <w:rsid w:val="00C55EC9"/>
    <w:rsid w:val="00C731FD"/>
    <w:rsid w:val="00CF6A86"/>
    <w:rsid w:val="00D83604"/>
    <w:rsid w:val="00DD4445"/>
    <w:rsid w:val="00DF35FE"/>
    <w:rsid w:val="00E61857"/>
    <w:rsid w:val="00E673D3"/>
    <w:rsid w:val="00E97EB4"/>
    <w:rsid w:val="00ED441A"/>
    <w:rsid w:val="00EF48C2"/>
    <w:rsid w:val="00F65FE9"/>
    <w:rsid w:val="00F71DFC"/>
    <w:rsid w:val="00F85BB8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97AC"/>
  <w15:chartTrackingRefBased/>
  <w15:docId w15:val="{57549DEA-878F-4B5C-964E-7EB7993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E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1EC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1EC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1EC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1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G">
    <w:name w:val="AMG"/>
    <w:basedOn w:val="Normalny"/>
    <w:rsid w:val="00C51EC0"/>
    <w:pPr>
      <w:suppressAutoHyphens/>
      <w:spacing w:line="360" w:lineRule="auto"/>
      <w:ind w:firstLine="708"/>
      <w:jc w:val="both"/>
    </w:pPr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51E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EC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EC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1EC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1EC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1EC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1EC0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51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51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C51EC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1EC0"/>
    <w:rPr>
      <w:b/>
      <w:bCs/>
    </w:rPr>
  </w:style>
  <w:style w:type="character" w:styleId="Uwydatnienie">
    <w:name w:val="Emphasis"/>
    <w:basedOn w:val="Domylnaczcionkaakapitu"/>
    <w:uiPriority w:val="20"/>
    <w:qFormat/>
    <w:rsid w:val="00C51EC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C51EC0"/>
    <w:rPr>
      <w:szCs w:val="32"/>
    </w:rPr>
  </w:style>
  <w:style w:type="paragraph" w:styleId="Akapitzlist">
    <w:name w:val="List Paragraph"/>
    <w:basedOn w:val="Normalny"/>
    <w:uiPriority w:val="34"/>
    <w:qFormat/>
    <w:rsid w:val="00C51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1EC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51EC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1EC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1EC0"/>
    <w:rPr>
      <w:b/>
      <w:i/>
      <w:sz w:val="24"/>
    </w:rPr>
  </w:style>
  <w:style w:type="character" w:styleId="Wyrnieniedelikatne">
    <w:name w:val="Subtle Emphasis"/>
    <w:uiPriority w:val="19"/>
    <w:qFormat/>
    <w:rsid w:val="00C51EC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51EC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51EC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51EC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51EC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1EC0"/>
    <w:pPr>
      <w:outlineLvl w:val="9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E6185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51EC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61857"/>
    <w:pPr>
      <w:spacing w:after="100" w:line="259" w:lineRule="auto"/>
      <w:ind w:left="216"/>
    </w:pPr>
    <w:rPr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D441A"/>
    <w:pPr>
      <w:spacing w:after="100" w:line="259" w:lineRule="auto"/>
      <w:ind w:left="440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6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F0C"/>
    <w:rPr>
      <w:sz w:val="24"/>
      <w:szCs w:val="24"/>
    </w:rPr>
  </w:style>
  <w:style w:type="table" w:styleId="Tabela-Siatka">
    <w:name w:val="Table Grid"/>
    <w:basedOn w:val="Standardowy"/>
    <w:uiPriority w:val="39"/>
    <w:rsid w:val="007B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B698-4A2A-4C96-A1F0-34A437E2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11</Pages>
  <Words>2475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Pietruszewska</dc:creator>
  <cp:keywords/>
  <dc:description/>
  <cp:lastModifiedBy>Anna Pietruszewska</cp:lastModifiedBy>
  <cp:revision>11</cp:revision>
  <cp:lastPrinted>2023-09-29T10:10:00Z</cp:lastPrinted>
  <dcterms:created xsi:type="dcterms:W3CDTF">2023-09-26T09:37:00Z</dcterms:created>
  <dcterms:modified xsi:type="dcterms:W3CDTF">2023-09-29T10:14:00Z</dcterms:modified>
</cp:coreProperties>
</file>