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3" w:rsidRPr="00CB1E63" w:rsidRDefault="00CB1E63" w:rsidP="00CB1E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1E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F0F3D" w:rsidRPr="003F0F3D" w:rsidRDefault="003F0F3D" w:rsidP="003F0F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0F3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F0F3D" w:rsidRPr="003F0F3D" w:rsidRDefault="003F0F3D" w:rsidP="003F0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626144-N-2019 z dnia 2019-11-21 r. </w:t>
      </w:r>
    </w:p>
    <w:p w:rsidR="003F0F3D" w:rsidRDefault="003F0F3D" w:rsidP="003F0F3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Powiatowy Zarząd Dróg w Iławie: </w:t>
      </w:r>
    </w:p>
    <w:p w:rsidR="003F0F3D" w:rsidRPr="003F0F3D" w:rsidRDefault="003F0F3D" w:rsidP="003F0F3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paliw płynnych dla OD Iława i OD Susz w 2020 r.</w:t>
      </w: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Iławie, krajowy numer identyfikacyjny 51085456900000, ul. ul. Tadeusza Kościuszki  , 14-200  Iława, woj. warmińsko-mazurskie, państwo Polska, tel. 896 485 468, e-mail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pzd@powiat-ilawski.pl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89 644 80 66.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bip.powiat-ilawski.pl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3F0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Zarząd Dróg w Iławie, ul. Tadeusza Kościuszki 33 A, 14 - 200 Iława, pok. nr 4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dla OD Iława i OD Susz w 2020 r.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DT4B.260.31.2019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F0F3D" w:rsidRPr="003F0F3D" w:rsidRDefault="003F0F3D" w:rsidP="003F0F3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paliw płynnych dla OD Iława i OD Susz w 2020 r.: Zadanie nr 1 Dostawa paliw płynnych dla OD Iława w 2020 r.: a) do 2500 litrów benzyny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1000 litrów b) do 20000 litrów oleju napędowego, lecz nie mniej niż 5000 litrów Zadanie nr 2 Dostawa paliw płynnych dla OD Susz w 2020 r.: a) do 1100 litrów benzyny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500 litrów b) do 13000 litrów oleju napędowego, lecz nie mniej niż 5000 litrów 2. Dostawy będą realizowane na zasadzie doraźnych, bezgotówkowych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paliwo.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w zakresie wskazanym w ogłoszeniu o zamówieniu oraz specyfikacji istotnych warunków zamówienia. Informacje zawarte w oświadczeniu stanowią wstępne potwierdzenie, że wykonawca nie podlega wykluczeniu oraz spełnia warunki udziału w postępowaniu (zał. nr 2 i nr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w zakresie wskazanym w ogłoszeniu o zamówieniu oraz specyfikacji istotnych warunków zamówienia. Informacje zawarte w oświadczeniu stanowią wstępne potwierdzenie, że wykonawca nie podlega wykluczeniu oraz spełnia warunki udziału w postępowaniu (zał. nr 2 i nr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w zakresie wskazanym w ogłoszeniu o zamówieniu oraz specyfikacji istotnych warunków zamówienia. Informacje zawarte w oświadczeniu stanowią wstępne potwierdzenie, że wykonawca nie podlega wykluczeniu oraz spełnia warunki udziału w postępowaniu (zał. nr 2 i nr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Koncesja lub zezwolenie na prowadzenie działalności gospodarczej w zakresie objętym niniejszym zamówieniem publicznym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Koncesja lub zezwolenie na prowadzenie działalności gospodarczej w zakresie objętym niniejszym zamówieniem publicznym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oferty wg wzoru Załącznik Nr 1 i nr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F0F3D" w:rsidRPr="003F0F3D" w:rsidTr="003F0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0F3D" w:rsidRPr="003F0F3D" w:rsidTr="003F0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zmiana postanowień niniejszej umowy wymaga formy pisemnej w postaci aneksu pod rygorem nieważności. 2. Zmiany nie mogą naruszać postanowień zawartych w art. 144 ustawy Prawo zamówień publicznych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2019-11-29, godzina: 09:00,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3D" w:rsidRPr="003F0F3D" w:rsidRDefault="003F0F3D" w:rsidP="003F0F3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88"/>
      </w:tblGrid>
      <w:tr w:rsidR="003F0F3D" w:rsidRPr="003F0F3D" w:rsidTr="003F0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Iława w 2020 r.</w:t>
            </w:r>
          </w:p>
        </w:tc>
      </w:tr>
    </w:tbl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 płynnych dla OD Iława w 2020 r.: a) do 2500 litrów benzyny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1000 litrów b) do 20000 litrów oleju napędowego, lecz nie mniej niż 5000 litrów 2. Dostawy będą realizowane na zasadzie doraźnych, bezgotówkowych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paliwo.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24611100-1,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F0F3D" w:rsidRPr="003F0F3D" w:rsidTr="003F0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0F3D" w:rsidRPr="003F0F3D" w:rsidTr="003F0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F0F3D" w:rsidRPr="003F0F3D" w:rsidRDefault="003F0F3D" w:rsidP="003F0F3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8"/>
      </w:tblGrid>
      <w:tr w:rsidR="003F0F3D" w:rsidRPr="003F0F3D" w:rsidTr="003F0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Susz w 2020 r.</w:t>
            </w:r>
          </w:p>
        </w:tc>
      </w:tr>
    </w:tbl>
    <w:p w:rsidR="003F0F3D" w:rsidRPr="003F0F3D" w:rsidRDefault="003F0F3D" w:rsidP="003F0F3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0F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 płynnych dla OD Susz w 2020 r.: a) do 1100 litrów benzyny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500 litrów b) do 13000 litrów oleju napędowego, lecz nie mniej niż 5000 litrów 2. Dostawy będą realizowane na zasadzie doraźnych, bezgotówkowych </w:t>
      </w:r>
      <w:proofErr w:type="spellStart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paliwo.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24611100-1,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F0F3D" w:rsidRPr="003F0F3D" w:rsidTr="003F0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0F3D" w:rsidRPr="003F0F3D" w:rsidTr="003F0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3D" w:rsidRPr="003F0F3D" w:rsidRDefault="003F0F3D" w:rsidP="003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B1E63" w:rsidRPr="00CB1E63" w:rsidRDefault="00CB1E63" w:rsidP="00CB1E63">
      <w:pPr>
        <w:spacing w:after="240" w:line="450" w:lineRule="atLeas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1E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11DD3" w:rsidRPr="00311DD3" w:rsidRDefault="00311DD3" w:rsidP="00311D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1DD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527F" w:rsidRPr="008B527F" w:rsidRDefault="008B527F" w:rsidP="008B52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52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527F" w:rsidRPr="008B527F" w:rsidRDefault="008B527F" w:rsidP="008B527F">
      <w:pPr>
        <w:spacing w:after="240" w:line="450" w:lineRule="atLeas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52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25C4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:rsidR="003525C4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3525C4" w:rsidRPr="001328D2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Pr="001328D2">
        <w:rPr>
          <w:rFonts w:ascii="Arial" w:eastAsia="Times New Roman" w:hAnsi="Arial" w:cs="Arial"/>
          <w:lang w:eastAsia="zh-CN"/>
        </w:rPr>
        <w:t>Dyrektor</w:t>
      </w:r>
    </w:p>
    <w:p w:rsidR="003525C4" w:rsidRPr="001328D2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Pr="001328D2">
        <w:rPr>
          <w:rFonts w:ascii="Arial" w:eastAsia="Times New Roman" w:hAnsi="Arial" w:cs="Arial"/>
          <w:lang w:eastAsia="zh-CN"/>
        </w:rPr>
        <w:t>Powiatowego Zarządu Dróg w Iławie</w:t>
      </w:r>
    </w:p>
    <w:p w:rsidR="00311DD3" w:rsidRPr="00311DD3" w:rsidRDefault="003525C4" w:rsidP="003525C4">
      <w:pPr>
        <w:spacing w:after="0" w:line="450" w:lineRule="atLeast"/>
        <w:ind w:left="3540" w:firstLine="708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8D2">
        <w:rPr>
          <w:rFonts w:ascii="Arial" w:eastAsia="Times New Roman" w:hAnsi="Arial" w:cs="Arial"/>
          <w:lang w:eastAsia="zh-CN"/>
        </w:rPr>
        <w:t>mgr inż. Lech Tatarek</w:t>
      </w:r>
    </w:p>
    <w:p w:rsidR="00ED337D" w:rsidRDefault="00ED337D" w:rsidP="00311DD3">
      <w:pPr>
        <w:spacing w:after="0"/>
      </w:pPr>
    </w:p>
    <w:sectPr w:rsidR="00ED337D" w:rsidSect="00311D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D3"/>
    <w:rsid w:val="00311DD3"/>
    <w:rsid w:val="003525C4"/>
    <w:rsid w:val="003F0F3D"/>
    <w:rsid w:val="007F2FD5"/>
    <w:rsid w:val="008B527F"/>
    <w:rsid w:val="00CB1E63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1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1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1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1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3823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cp:lastPrinted>2019-11-21T13:55:00Z</cp:lastPrinted>
  <dcterms:created xsi:type="dcterms:W3CDTF">2018-06-29T07:43:00Z</dcterms:created>
  <dcterms:modified xsi:type="dcterms:W3CDTF">2019-11-21T13:55:00Z</dcterms:modified>
</cp:coreProperties>
</file>