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410" w14:textId="77777777" w:rsidR="00336AE7" w:rsidRPr="00DB5A6D" w:rsidRDefault="00336AE7" w:rsidP="00336AE7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658E72" w14:textId="77777777" w:rsidR="00F70574" w:rsidRPr="00F70574" w:rsidRDefault="00F70574" w:rsidP="00F70574">
      <w:pPr>
        <w:pStyle w:val="Tytu"/>
        <w:spacing w:line="276" w:lineRule="auto"/>
        <w:jc w:val="left"/>
        <w:rPr>
          <w:rFonts w:ascii="Arial" w:hAnsi="Arial" w:cs="Arial"/>
          <w:b w:val="0"/>
          <w:sz w:val="20"/>
        </w:rPr>
      </w:pPr>
    </w:p>
    <w:p w14:paraId="1A1693F2" w14:textId="503D0345" w:rsidR="00F70574" w:rsidRPr="00F70574" w:rsidRDefault="00F70574" w:rsidP="00F7057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F70574">
        <w:rPr>
          <w:rFonts w:ascii="Arial" w:hAnsi="Arial" w:cs="Arial"/>
          <w:sz w:val="22"/>
          <w:szCs w:val="22"/>
        </w:rPr>
        <w:t xml:space="preserve">Uchwała Nr </w:t>
      </w:r>
      <w:r w:rsidR="00903E4E">
        <w:rPr>
          <w:rFonts w:ascii="Arial" w:hAnsi="Arial" w:cs="Arial"/>
          <w:sz w:val="22"/>
          <w:szCs w:val="22"/>
        </w:rPr>
        <w:t>289</w:t>
      </w:r>
      <w:r w:rsidRPr="00F70574">
        <w:rPr>
          <w:rFonts w:ascii="Arial" w:hAnsi="Arial" w:cs="Arial"/>
          <w:sz w:val="22"/>
          <w:szCs w:val="22"/>
        </w:rPr>
        <w:t>/</w:t>
      </w:r>
      <w:r w:rsidR="00903E4E">
        <w:rPr>
          <w:rFonts w:ascii="Arial" w:hAnsi="Arial" w:cs="Arial"/>
          <w:sz w:val="22"/>
          <w:szCs w:val="22"/>
        </w:rPr>
        <w:t>875</w:t>
      </w:r>
      <w:r w:rsidRPr="00F70574">
        <w:rPr>
          <w:rFonts w:ascii="Arial" w:hAnsi="Arial" w:cs="Arial"/>
          <w:sz w:val="22"/>
          <w:szCs w:val="22"/>
        </w:rPr>
        <w:t>/22</w:t>
      </w:r>
    </w:p>
    <w:p w14:paraId="6F365DF0" w14:textId="77777777" w:rsidR="00F70574" w:rsidRPr="00F70574" w:rsidRDefault="00F70574" w:rsidP="00F70574">
      <w:pPr>
        <w:pStyle w:val="Podtytu"/>
        <w:spacing w:line="360" w:lineRule="auto"/>
        <w:rPr>
          <w:rFonts w:ascii="Arial" w:hAnsi="Arial" w:cs="Arial"/>
          <w:szCs w:val="22"/>
        </w:rPr>
      </w:pPr>
      <w:r w:rsidRPr="00F70574">
        <w:rPr>
          <w:rFonts w:ascii="Arial" w:hAnsi="Arial" w:cs="Arial"/>
          <w:szCs w:val="22"/>
        </w:rPr>
        <w:t>Zarządu Powiatu Iławskiego</w:t>
      </w:r>
    </w:p>
    <w:p w14:paraId="13BEB4C7" w14:textId="43F0DC93" w:rsidR="00F70574" w:rsidRPr="00F70574" w:rsidRDefault="00F70574" w:rsidP="00F705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574">
        <w:rPr>
          <w:rFonts w:ascii="Arial" w:hAnsi="Arial" w:cs="Arial"/>
          <w:b/>
          <w:sz w:val="22"/>
          <w:szCs w:val="22"/>
        </w:rPr>
        <w:t xml:space="preserve">z </w:t>
      </w:r>
      <w:r w:rsidR="00903E4E">
        <w:rPr>
          <w:rFonts w:ascii="Arial" w:hAnsi="Arial" w:cs="Arial"/>
          <w:b/>
          <w:sz w:val="22"/>
          <w:szCs w:val="22"/>
        </w:rPr>
        <w:t>8</w:t>
      </w:r>
      <w:r w:rsidRPr="00F70574">
        <w:rPr>
          <w:rFonts w:ascii="Arial" w:hAnsi="Arial" w:cs="Arial"/>
          <w:b/>
          <w:sz w:val="22"/>
          <w:szCs w:val="22"/>
        </w:rPr>
        <w:t xml:space="preserve"> listopada 2022 roku</w:t>
      </w:r>
    </w:p>
    <w:p w14:paraId="162A020C" w14:textId="77777777" w:rsidR="00F70574" w:rsidRPr="00F70574" w:rsidRDefault="00F70574" w:rsidP="00F705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49D5256" w14:textId="77777777" w:rsidR="00F70574" w:rsidRPr="00F70574" w:rsidRDefault="00F70574" w:rsidP="00A2506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70574">
        <w:rPr>
          <w:rFonts w:ascii="Arial" w:hAnsi="Arial" w:cs="Arial"/>
          <w:sz w:val="22"/>
          <w:szCs w:val="22"/>
        </w:rPr>
        <w:t>zmieniająca uchwałę w sprawie ustalenia Regulaminu Organizacyjnego Starostwa Powiatowego w Iławie.</w:t>
      </w:r>
    </w:p>
    <w:p w14:paraId="026C8E21" w14:textId="77777777" w:rsidR="00F70574" w:rsidRPr="00F70574" w:rsidRDefault="00F70574" w:rsidP="00F70574">
      <w:pPr>
        <w:pStyle w:val="Tekstpodstawowywcity"/>
        <w:spacing w:line="360" w:lineRule="auto"/>
        <w:ind w:left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9953626" w14:textId="77777777" w:rsidR="00F70574" w:rsidRPr="00F70574" w:rsidRDefault="00F70574" w:rsidP="00F70574">
      <w:pPr>
        <w:pStyle w:val="Nagwek3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70574">
        <w:rPr>
          <w:rFonts w:ascii="Arial" w:hAnsi="Arial" w:cs="Arial"/>
          <w:color w:val="auto"/>
          <w:sz w:val="22"/>
          <w:szCs w:val="22"/>
        </w:rPr>
        <w:t>Na podstawie art. 32 ust. 2 pkt 6 ustawy z dnia 5 czerwca 19</w:t>
      </w:r>
      <w:r w:rsidR="00A25067">
        <w:rPr>
          <w:rFonts w:ascii="Arial" w:hAnsi="Arial" w:cs="Arial"/>
          <w:color w:val="auto"/>
          <w:sz w:val="22"/>
          <w:szCs w:val="22"/>
        </w:rPr>
        <w:t xml:space="preserve">98 r. o samorządzie powiatowym </w:t>
      </w:r>
      <w:r w:rsidR="00846F74">
        <w:rPr>
          <w:rFonts w:ascii="Arial" w:hAnsi="Arial" w:cs="Arial"/>
          <w:color w:val="auto"/>
          <w:sz w:val="22"/>
          <w:szCs w:val="22"/>
        </w:rPr>
        <w:br/>
      </w:r>
      <w:r w:rsidRPr="00F70574">
        <w:rPr>
          <w:rFonts w:ascii="Arial" w:hAnsi="Arial" w:cs="Arial"/>
          <w:color w:val="auto"/>
          <w:sz w:val="22"/>
          <w:szCs w:val="22"/>
        </w:rPr>
        <w:t xml:space="preserve">(t.j. </w:t>
      </w:r>
      <w:r w:rsidRPr="00F70574">
        <w:rPr>
          <w:rStyle w:val="ng-binding"/>
          <w:rFonts w:ascii="Arial" w:hAnsi="Arial" w:cs="Arial"/>
          <w:color w:val="auto"/>
          <w:sz w:val="22"/>
          <w:szCs w:val="22"/>
        </w:rPr>
        <w:t>Dz. U.</w:t>
      </w:r>
      <w:r w:rsidR="00A54523">
        <w:rPr>
          <w:rStyle w:val="ng-binding"/>
          <w:rFonts w:ascii="Arial" w:hAnsi="Arial" w:cs="Arial"/>
          <w:color w:val="auto"/>
          <w:sz w:val="22"/>
          <w:szCs w:val="22"/>
        </w:rPr>
        <w:t xml:space="preserve"> z </w:t>
      </w:r>
      <w:r w:rsidRPr="00F70574">
        <w:rPr>
          <w:rStyle w:val="ng-binding"/>
          <w:rFonts w:ascii="Arial" w:hAnsi="Arial" w:cs="Arial"/>
          <w:color w:val="auto"/>
          <w:sz w:val="22"/>
          <w:szCs w:val="22"/>
        </w:rPr>
        <w:t>2022</w:t>
      </w:r>
      <w:r w:rsidR="00A54523">
        <w:rPr>
          <w:rStyle w:val="ng-binding"/>
          <w:rFonts w:ascii="Arial" w:hAnsi="Arial" w:cs="Arial"/>
          <w:color w:val="auto"/>
          <w:sz w:val="22"/>
          <w:szCs w:val="22"/>
        </w:rPr>
        <w:t xml:space="preserve"> r</w:t>
      </w:r>
      <w:r w:rsidRPr="00F70574">
        <w:rPr>
          <w:rStyle w:val="ng-binding"/>
          <w:rFonts w:ascii="Arial" w:hAnsi="Arial" w:cs="Arial"/>
          <w:color w:val="auto"/>
          <w:sz w:val="22"/>
          <w:szCs w:val="22"/>
        </w:rPr>
        <w:t>.</w:t>
      </w:r>
      <w:r w:rsidR="00A54523">
        <w:rPr>
          <w:rStyle w:val="ng-binding"/>
          <w:rFonts w:ascii="Arial" w:hAnsi="Arial" w:cs="Arial"/>
          <w:color w:val="auto"/>
          <w:sz w:val="22"/>
          <w:szCs w:val="22"/>
        </w:rPr>
        <w:t xml:space="preserve"> poz. </w:t>
      </w:r>
      <w:r w:rsidRPr="00F70574">
        <w:rPr>
          <w:rStyle w:val="ng-binding"/>
          <w:rFonts w:ascii="Arial" w:hAnsi="Arial" w:cs="Arial"/>
          <w:color w:val="auto"/>
          <w:sz w:val="22"/>
          <w:szCs w:val="22"/>
        </w:rPr>
        <w:t>1526</w:t>
      </w:r>
      <w:r w:rsidRPr="00F70574">
        <w:rPr>
          <w:rFonts w:ascii="Arial" w:hAnsi="Arial" w:cs="Arial"/>
          <w:color w:val="auto"/>
          <w:sz w:val="22"/>
          <w:szCs w:val="22"/>
        </w:rPr>
        <w:t>) Zarząd Powiatu Iławskiego uchwala, co następuje:</w:t>
      </w:r>
    </w:p>
    <w:p w14:paraId="0C4AFF17" w14:textId="77777777" w:rsidR="00F70574" w:rsidRPr="00F70574" w:rsidRDefault="00F70574" w:rsidP="00F70574">
      <w:pPr>
        <w:rPr>
          <w:rFonts w:ascii="Arial" w:hAnsi="Arial" w:cs="Arial"/>
          <w:sz w:val="22"/>
          <w:szCs w:val="22"/>
        </w:rPr>
      </w:pPr>
    </w:p>
    <w:p w14:paraId="3428D113" w14:textId="77777777" w:rsidR="00F70574" w:rsidRPr="00F70574" w:rsidRDefault="00F70574" w:rsidP="00F705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0574">
        <w:rPr>
          <w:rFonts w:ascii="Arial" w:hAnsi="Arial" w:cs="Arial"/>
          <w:b/>
          <w:sz w:val="22"/>
          <w:szCs w:val="22"/>
        </w:rPr>
        <w:t>§ 1</w:t>
      </w:r>
    </w:p>
    <w:p w14:paraId="1CE996D4" w14:textId="77777777" w:rsidR="008C0C67" w:rsidRDefault="00A54523" w:rsidP="00846F7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70574" w:rsidRPr="00F70574">
        <w:rPr>
          <w:rFonts w:ascii="Arial" w:hAnsi="Arial" w:cs="Arial"/>
          <w:sz w:val="22"/>
          <w:szCs w:val="22"/>
        </w:rPr>
        <w:t>chwa</w:t>
      </w:r>
      <w:r>
        <w:rPr>
          <w:rFonts w:ascii="Arial" w:hAnsi="Arial" w:cs="Arial"/>
          <w:sz w:val="22"/>
          <w:szCs w:val="22"/>
        </w:rPr>
        <w:t>łę</w:t>
      </w:r>
      <w:r w:rsidR="00F70574" w:rsidRPr="00F70574">
        <w:rPr>
          <w:rFonts w:ascii="Arial" w:hAnsi="Arial" w:cs="Arial"/>
          <w:sz w:val="22"/>
          <w:szCs w:val="22"/>
        </w:rPr>
        <w:t xml:space="preserve"> Nr 242/758/22 Zarządu Powiatu Iławskiego z dnia 15 lutego 2022 roku w sprawie ustalenia Regulaminu Organizacyjnego Starostwa </w:t>
      </w:r>
      <w:r w:rsidR="005050B3">
        <w:rPr>
          <w:rFonts w:ascii="Arial" w:hAnsi="Arial" w:cs="Arial"/>
          <w:sz w:val="22"/>
          <w:szCs w:val="22"/>
        </w:rPr>
        <w:t xml:space="preserve">Powiatowego </w:t>
      </w:r>
      <w:r w:rsidR="00F70574" w:rsidRPr="00F70574">
        <w:rPr>
          <w:rFonts w:ascii="Arial" w:hAnsi="Arial" w:cs="Arial"/>
          <w:sz w:val="22"/>
          <w:szCs w:val="22"/>
        </w:rPr>
        <w:t xml:space="preserve">w Iławie </w:t>
      </w:r>
      <w:r w:rsidR="008C0C67">
        <w:rPr>
          <w:rFonts w:ascii="Arial" w:hAnsi="Arial" w:cs="Arial"/>
          <w:sz w:val="22"/>
          <w:szCs w:val="22"/>
        </w:rPr>
        <w:t xml:space="preserve">zmienia się w ten sposób, że: </w:t>
      </w:r>
    </w:p>
    <w:p w14:paraId="484BFD16" w14:textId="77777777" w:rsidR="00F70574" w:rsidRDefault="008C0C67" w:rsidP="008C0C6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F70574" w:rsidRPr="00F70574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 xml:space="preserve"> słowa</w:t>
      </w:r>
      <w:r w:rsidR="00F70574" w:rsidRPr="00F705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„1 lipca 2022 r.” zastępuje się słowami: </w:t>
      </w:r>
      <w:r w:rsidR="00F70574" w:rsidRPr="00F70574">
        <w:rPr>
          <w:rFonts w:ascii="Arial" w:hAnsi="Arial" w:cs="Arial"/>
          <w:sz w:val="22"/>
          <w:szCs w:val="22"/>
        </w:rPr>
        <w:t>„1 stycznia 2024 roku.”</w:t>
      </w:r>
      <w:r>
        <w:rPr>
          <w:rFonts w:ascii="Arial" w:hAnsi="Arial" w:cs="Arial"/>
          <w:sz w:val="22"/>
          <w:szCs w:val="22"/>
        </w:rPr>
        <w:t>;</w:t>
      </w:r>
    </w:p>
    <w:p w14:paraId="26390611" w14:textId="77777777" w:rsidR="00F70574" w:rsidRPr="005050B3" w:rsidRDefault="008C0C67" w:rsidP="005050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0574" w:rsidRPr="008C0C67">
        <w:rPr>
          <w:rFonts w:ascii="Arial" w:hAnsi="Arial" w:cs="Arial"/>
          <w:sz w:val="22"/>
          <w:szCs w:val="22"/>
        </w:rPr>
        <w:t xml:space="preserve"> załączniku nr 2 </w:t>
      </w:r>
      <w:r w:rsidR="00846F74">
        <w:rPr>
          <w:rFonts w:ascii="Arial" w:hAnsi="Arial" w:cs="Arial"/>
          <w:sz w:val="22"/>
          <w:szCs w:val="22"/>
        </w:rPr>
        <w:t xml:space="preserve">do </w:t>
      </w:r>
      <w:r w:rsidR="00F70574" w:rsidRPr="008C0C67">
        <w:rPr>
          <w:rFonts w:ascii="Arial" w:hAnsi="Arial" w:cs="Arial"/>
          <w:sz w:val="22"/>
          <w:szCs w:val="22"/>
        </w:rPr>
        <w:t>Regulaminu Organizacyjnego Starostwa Powiatowego w Iławie</w:t>
      </w:r>
      <w:r w:rsidR="005050B3">
        <w:rPr>
          <w:rFonts w:ascii="Arial" w:hAnsi="Arial" w:cs="Arial"/>
          <w:sz w:val="22"/>
          <w:szCs w:val="22"/>
        </w:rPr>
        <w:t xml:space="preserve"> – części III i XV </w:t>
      </w:r>
      <w:r w:rsidR="00F70574" w:rsidRPr="005050B3">
        <w:rPr>
          <w:rFonts w:ascii="Arial" w:hAnsi="Arial" w:cs="Arial"/>
          <w:sz w:val="22"/>
          <w:szCs w:val="22"/>
        </w:rPr>
        <w:t>otrzymuj</w:t>
      </w:r>
      <w:r w:rsidR="005050B3">
        <w:rPr>
          <w:rFonts w:ascii="Arial" w:hAnsi="Arial" w:cs="Arial"/>
          <w:sz w:val="22"/>
          <w:szCs w:val="22"/>
        </w:rPr>
        <w:t>ą</w:t>
      </w:r>
      <w:r w:rsidR="00F70574" w:rsidRPr="005050B3">
        <w:rPr>
          <w:rFonts w:ascii="Arial" w:hAnsi="Arial" w:cs="Arial"/>
          <w:sz w:val="22"/>
          <w:szCs w:val="22"/>
        </w:rPr>
        <w:t xml:space="preserve"> brzmienie jak w załączniku do niniejszej uchwały</w:t>
      </w:r>
      <w:r w:rsidR="005050B3">
        <w:rPr>
          <w:rFonts w:ascii="Arial" w:hAnsi="Arial" w:cs="Arial"/>
          <w:sz w:val="22"/>
          <w:szCs w:val="22"/>
        </w:rPr>
        <w:t>.</w:t>
      </w:r>
    </w:p>
    <w:p w14:paraId="74AA822E" w14:textId="77777777" w:rsidR="00F70574" w:rsidRPr="00F70574" w:rsidRDefault="00F70574" w:rsidP="00F70574">
      <w:pPr>
        <w:rPr>
          <w:rFonts w:ascii="Arial" w:hAnsi="Arial" w:cs="Arial"/>
          <w:sz w:val="22"/>
          <w:szCs w:val="22"/>
        </w:rPr>
      </w:pPr>
    </w:p>
    <w:p w14:paraId="4C510DE7" w14:textId="77777777" w:rsidR="00F70574" w:rsidRPr="00F70574" w:rsidRDefault="00F70574" w:rsidP="00F7057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0574">
        <w:rPr>
          <w:rFonts w:ascii="Arial" w:hAnsi="Arial" w:cs="Arial"/>
          <w:b/>
          <w:sz w:val="22"/>
          <w:szCs w:val="22"/>
        </w:rPr>
        <w:t>§ 2</w:t>
      </w:r>
    </w:p>
    <w:p w14:paraId="5C8F4609" w14:textId="77777777" w:rsidR="00F70574" w:rsidRPr="00F70574" w:rsidRDefault="00F70574" w:rsidP="00F7057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70574">
        <w:rPr>
          <w:rFonts w:ascii="Arial" w:hAnsi="Arial" w:cs="Arial"/>
          <w:b w:val="0"/>
          <w:sz w:val="22"/>
          <w:szCs w:val="22"/>
        </w:rPr>
        <w:t>Uchwała wchodzi w życie z dniem podjęcia.</w:t>
      </w:r>
    </w:p>
    <w:p w14:paraId="7F7EAF6B" w14:textId="77777777" w:rsidR="00F70574" w:rsidRPr="00F70574" w:rsidRDefault="00F70574" w:rsidP="00F7057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574"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3A1C8825" w14:textId="77777777" w:rsidR="00F70574" w:rsidRPr="00F70574" w:rsidRDefault="00F70574" w:rsidP="00F705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39FB90C" w14:textId="77777777" w:rsidR="00F70574" w:rsidRPr="00F70574" w:rsidRDefault="00F70574" w:rsidP="00F7057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8AF7BF" w14:textId="77777777" w:rsidR="00F70574" w:rsidRPr="00F70574" w:rsidRDefault="00F70574" w:rsidP="00F70574">
      <w:pPr>
        <w:spacing w:line="276" w:lineRule="auto"/>
        <w:ind w:left="4248"/>
        <w:rPr>
          <w:rFonts w:ascii="Arial" w:hAnsi="Arial" w:cs="Arial"/>
          <w:b/>
          <w:sz w:val="22"/>
          <w:szCs w:val="22"/>
        </w:rPr>
      </w:pPr>
      <w:r w:rsidRPr="00F70574">
        <w:rPr>
          <w:rFonts w:ascii="Arial" w:hAnsi="Arial" w:cs="Arial"/>
          <w:b/>
          <w:sz w:val="22"/>
          <w:szCs w:val="22"/>
        </w:rPr>
        <w:t>Zarząd Powiatu Iławskiego:</w:t>
      </w:r>
    </w:p>
    <w:p w14:paraId="5B4F33ED" w14:textId="77777777" w:rsidR="00F70574" w:rsidRPr="00F70574" w:rsidRDefault="00F70574" w:rsidP="00F705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87E743" w14:textId="6C9DCDBE" w:rsidR="00F70574" w:rsidRPr="00A54523" w:rsidRDefault="00F70574" w:rsidP="00A54523">
      <w:pPr>
        <w:pStyle w:val="Akapitzlist"/>
        <w:numPr>
          <w:ilvl w:val="6"/>
          <w:numId w:val="6"/>
        </w:numPr>
        <w:spacing w:before="120" w:after="240" w:line="480" w:lineRule="auto"/>
        <w:ind w:left="4252" w:hanging="357"/>
        <w:jc w:val="both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>Bartosz Bielawski</w:t>
      </w:r>
      <w:r w:rsidRPr="00A54523">
        <w:rPr>
          <w:rFonts w:ascii="Arial" w:hAnsi="Arial" w:cs="Arial"/>
          <w:sz w:val="22"/>
          <w:szCs w:val="22"/>
        </w:rPr>
        <w:tab/>
      </w:r>
    </w:p>
    <w:p w14:paraId="60BFB8D9" w14:textId="7CEADDFE" w:rsidR="00F70574" w:rsidRPr="00A54523" w:rsidRDefault="00F70574" w:rsidP="00A54523">
      <w:pPr>
        <w:pStyle w:val="Akapitzlist"/>
        <w:numPr>
          <w:ilvl w:val="6"/>
          <w:numId w:val="6"/>
        </w:numPr>
        <w:spacing w:before="120" w:after="240" w:line="480" w:lineRule="auto"/>
        <w:ind w:left="4252" w:hanging="357"/>
        <w:jc w:val="both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>Marek Polański</w:t>
      </w:r>
      <w:r w:rsidRPr="00A54523">
        <w:rPr>
          <w:rFonts w:ascii="Arial" w:hAnsi="Arial" w:cs="Arial"/>
          <w:sz w:val="22"/>
          <w:szCs w:val="22"/>
        </w:rPr>
        <w:tab/>
      </w:r>
    </w:p>
    <w:p w14:paraId="36234FEC" w14:textId="59534FBC" w:rsidR="00F70574" w:rsidRPr="00A54523" w:rsidRDefault="00F70574" w:rsidP="00A54523">
      <w:pPr>
        <w:pStyle w:val="Akapitzlist"/>
        <w:numPr>
          <w:ilvl w:val="6"/>
          <w:numId w:val="6"/>
        </w:numPr>
        <w:spacing w:before="120" w:after="240" w:line="480" w:lineRule="auto"/>
        <w:ind w:left="4252" w:hanging="357"/>
        <w:jc w:val="both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>Maciej Rygielski</w:t>
      </w:r>
      <w:r w:rsidRPr="00A54523">
        <w:rPr>
          <w:rFonts w:ascii="Arial" w:hAnsi="Arial" w:cs="Arial"/>
          <w:sz w:val="22"/>
          <w:szCs w:val="22"/>
        </w:rPr>
        <w:tab/>
      </w:r>
    </w:p>
    <w:p w14:paraId="03BDEA94" w14:textId="56B033FA" w:rsidR="00F70574" w:rsidRPr="00A54523" w:rsidRDefault="00F70574" w:rsidP="00A54523">
      <w:pPr>
        <w:pStyle w:val="Akapitzlist"/>
        <w:numPr>
          <w:ilvl w:val="6"/>
          <w:numId w:val="6"/>
        </w:numPr>
        <w:spacing w:before="120" w:after="240" w:line="480" w:lineRule="auto"/>
        <w:ind w:left="4252" w:hanging="357"/>
        <w:jc w:val="both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 xml:space="preserve">Marian Golder   </w:t>
      </w:r>
      <w:r w:rsidRPr="00A54523">
        <w:rPr>
          <w:rFonts w:ascii="Arial" w:hAnsi="Arial" w:cs="Arial"/>
          <w:sz w:val="22"/>
          <w:szCs w:val="22"/>
        </w:rPr>
        <w:tab/>
      </w:r>
    </w:p>
    <w:p w14:paraId="27DCDB13" w14:textId="40C6EB5E" w:rsidR="00F70574" w:rsidRPr="00A54523" w:rsidRDefault="00F70574" w:rsidP="00A54523">
      <w:pPr>
        <w:pStyle w:val="Akapitzlist"/>
        <w:numPr>
          <w:ilvl w:val="6"/>
          <w:numId w:val="6"/>
        </w:numPr>
        <w:spacing w:before="120" w:after="240" w:line="480" w:lineRule="auto"/>
        <w:ind w:left="4252" w:hanging="357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>Grażyna Taborek</w:t>
      </w:r>
      <w:r w:rsidRPr="00A54523">
        <w:rPr>
          <w:rFonts w:ascii="Arial" w:hAnsi="Arial" w:cs="Arial"/>
          <w:sz w:val="22"/>
          <w:szCs w:val="22"/>
        </w:rPr>
        <w:tab/>
      </w:r>
    </w:p>
    <w:p w14:paraId="5ECD414A" w14:textId="77777777" w:rsidR="00F70574" w:rsidRPr="00F70574" w:rsidRDefault="00F705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034EA87A" w14:textId="77777777" w:rsidR="00F70574" w:rsidRDefault="00F705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7BA1F5B5" w14:textId="77777777" w:rsidR="00846F74" w:rsidRDefault="00846F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0F5C131A" w14:textId="77777777" w:rsidR="00846F74" w:rsidRDefault="00846F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5A5577AD" w14:textId="77777777" w:rsidR="00846F74" w:rsidRDefault="00846F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1BDD20A2" w14:textId="77777777" w:rsidR="005050B3" w:rsidRDefault="005050B3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0D39B934" w14:textId="77777777" w:rsidR="005050B3" w:rsidRDefault="005050B3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7A82A4E7" w14:textId="77777777" w:rsidR="005050B3" w:rsidRDefault="005050B3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00FD27C9" w14:textId="77777777" w:rsidR="00846F74" w:rsidRPr="00F70574" w:rsidRDefault="00846F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0AEBF2DC" w14:textId="77777777" w:rsidR="00F70574" w:rsidRPr="00F70574" w:rsidRDefault="00F70574" w:rsidP="00F70574">
      <w:pPr>
        <w:pStyle w:val="Tytu"/>
        <w:spacing w:line="276" w:lineRule="auto"/>
        <w:jc w:val="left"/>
        <w:rPr>
          <w:rFonts w:ascii="Arial" w:hAnsi="Arial" w:cs="Arial"/>
          <w:b w:val="0"/>
          <w:sz w:val="20"/>
        </w:rPr>
      </w:pPr>
    </w:p>
    <w:p w14:paraId="18D0952D" w14:textId="77777777" w:rsidR="00F70574" w:rsidRPr="00F70574" w:rsidRDefault="00F70574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14F7A79E" w14:textId="50A90369" w:rsidR="00A25067" w:rsidRDefault="00336AE7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F70574">
        <w:rPr>
          <w:rFonts w:ascii="Arial" w:hAnsi="Arial" w:cs="Arial"/>
          <w:b w:val="0"/>
          <w:sz w:val="20"/>
        </w:rPr>
        <w:t xml:space="preserve">Załącznik do Uchwały Nr </w:t>
      </w:r>
      <w:r w:rsidR="00903E4E">
        <w:rPr>
          <w:rFonts w:ascii="Arial" w:hAnsi="Arial" w:cs="Arial"/>
          <w:b w:val="0"/>
          <w:sz w:val="20"/>
        </w:rPr>
        <w:t>289</w:t>
      </w:r>
      <w:r w:rsidRPr="00F70574">
        <w:rPr>
          <w:rFonts w:ascii="Arial" w:hAnsi="Arial" w:cs="Arial"/>
          <w:b w:val="0"/>
          <w:sz w:val="20"/>
        </w:rPr>
        <w:t>/</w:t>
      </w:r>
      <w:r w:rsidR="00903E4E">
        <w:rPr>
          <w:rFonts w:ascii="Arial" w:hAnsi="Arial" w:cs="Arial"/>
          <w:b w:val="0"/>
          <w:sz w:val="20"/>
        </w:rPr>
        <w:t>875</w:t>
      </w:r>
      <w:r w:rsidRPr="00F70574">
        <w:rPr>
          <w:rFonts w:ascii="Arial" w:hAnsi="Arial" w:cs="Arial"/>
          <w:b w:val="0"/>
          <w:sz w:val="20"/>
        </w:rPr>
        <w:t>/22</w:t>
      </w:r>
      <w:r w:rsidRPr="00F70574">
        <w:rPr>
          <w:rFonts w:ascii="Arial" w:hAnsi="Arial" w:cs="Arial"/>
          <w:b w:val="0"/>
          <w:sz w:val="20"/>
        </w:rPr>
        <w:br/>
      </w:r>
      <w:r w:rsidR="00A25067">
        <w:rPr>
          <w:rFonts w:ascii="Arial" w:hAnsi="Arial" w:cs="Arial"/>
          <w:b w:val="0"/>
          <w:sz w:val="20"/>
        </w:rPr>
        <w:t xml:space="preserve">      </w:t>
      </w:r>
      <w:r w:rsidRPr="00F70574">
        <w:rPr>
          <w:rFonts w:ascii="Arial" w:hAnsi="Arial" w:cs="Arial"/>
          <w:b w:val="0"/>
          <w:sz w:val="20"/>
        </w:rPr>
        <w:t xml:space="preserve">Zarządu Powiatu Iławskiego </w:t>
      </w:r>
      <w:r w:rsidR="00A25067">
        <w:rPr>
          <w:rFonts w:ascii="Arial" w:hAnsi="Arial" w:cs="Arial"/>
          <w:b w:val="0"/>
          <w:sz w:val="20"/>
        </w:rPr>
        <w:t xml:space="preserve"> </w:t>
      </w:r>
    </w:p>
    <w:p w14:paraId="7BE6266F" w14:textId="6F73A721" w:rsidR="00336AE7" w:rsidRPr="00F70574" w:rsidRDefault="00336AE7" w:rsidP="00336AE7">
      <w:pPr>
        <w:pStyle w:val="Tytu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F70574">
        <w:rPr>
          <w:rFonts w:ascii="Arial" w:hAnsi="Arial" w:cs="Arial"/>
          <w:b w:val="0"/>
          <w:sz w:val="20"/>
        </w:rPr>
        <w:t xml:space="preserve">z </w:t>
      </w:r>
      <w:r w:rsidR="00903E4E">
        <w:rPr>
          <w:rFonts w:ascii="Arial" w:hAnsi="Arial" w:cs="Arial"/>
          <w:b w:val="0"/>
          <w:sz w:val="20"/>
        </w:rPr>
        <w:t xml:space="preserve">8 </w:t>
      </w:r>
      <w:r w:rsidRPr="00F70574">
        <w:rPr>
          <w:rFonts w:ascii="Arial" w:hAnsi="Arial" w:cs="Arial"/>
          <w:b w:val="0"/>
          <w:sz w:val="20"/>
        </w:rPr>
        <w:t>listopada 2022 r.</w:t>
      </w:r>
    </w:p>
    <w:p w14:paraId="475D6433" w14:textId="77777777" w:rsidR="00336AE7" w:rsidRPr="00F70574" w:rsidRDefault="00336AE7" w:rsidP="00336AE7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</w:p>
    <w:p w14:paraId="64D9E219" w14:textId="77777777" w:rsidR="00336AE7" w:rsidRPr="00F70574" w:rsidRDefault="00336AE7" w:rsidP="00D476D0">
      <w:pPr>
        <w:pStyle w:val="Nagwek4"/>
        <w:numPr>
          <w:ilvl w:val="0"/>
          <w:numId w:val="0"/>
        </w:numPr>
        <w:tabs>
          <w:tab w:val="clear" w:pos="63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0574">
        <w:rPr>
          <w:rFonts w:ascii="Times New Roman" w:hAnsi="Times New Roman" w:cs="Times New Roman"/>
          <w:sz w:val="24"/>
          <w:szCs w:val="24"/>
        </w:rPr>
        <w:tab/>
      </w:r>
    </w:p>
    <w:p w14:paraId="15C3D6AA" w14:textId="77777777" w:rsidR="00D476D0" w:rsidRPr="00F70574" w:rsidRDefault="00D476D0" w:rsidP="00336AE7">
      <w:pPr>
        <w:pStyle w:val="Nagwek4"/>
        <w:numPr>
          <w:ilvl w:val="0"/>
          <w:numId w:val="0"/>
        </w:numPr>
        <w:tabs>
          <w:tab w:val="clear" w:pos="63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0574">
        <w:rPr>
          <w:rFonts w:ascii="Times New Roman" w:hAnsi="Times New Roman" w:cs="Times New Roman"/>
          <w:sz w:val="24"/>
          <w:szCs w:val="24"/>
        </w:rPr>
        <w:t>III. Do zakresu działania Wydziału Komunikacji należy:</w:t>
      </w:r>
    </w:p>
    <w:p w14:paraId="150EFBB9" w14:textId="77777777" w:rsidR="00763796" w:rsidRPr="00F70574" w:rsidRDefault="00763796" w:rsidP="00763796"/>
    <w:p w14:paraId="7ADB9204" w14:textId="77777777" w:rsidR="00DE39FB" w:rsidRPr="00F70574" w:rsidRDefault="00D476D0" w:rsidP="00DE39FB">
      <w:pPr>
        <w:numPr>
          <w:ilvl w:val="0"/>
          <w:numId w:val="3"/>
        </w:numPr>
        <w:autoSpaceDE w:val="0"/>
        <w:autoSpaceDN w:val="0"/>
        <w:ind w:hanging="441"/>
        <w:jc w:val="both"/>
      </w:pPr>
      <w:r w:rsidRPr="00F70574">
        <w:t>wydawanie up</w:t>
      </w:r>
      <w:r w:rsidR="00A4118F" w:rsidRPr="00F70574">
        <w:t>rawnień do kierowania pojaz</w:t>
      </w:r>
      <w:r w:rsidR="00DE39FB" w:rsidRPr="00F70574">
        <w:t>dami;</w:t>
      </w:r>
    </w:p>
    <w:p w14:paraId="547D8AE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odmowa wydania uprawnień do kierowania pojazdami w wyniku negatywnej weryfikacji dokumentów;</w:t>
      </w:r>
    </w:p>
    <w:p w14:paraId="6F47A07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wymiana prawa jazdy wydanego za granicą;</w:t>
      </w:r>
    </w:p>
    <w:p w14:paraId="29E373B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wymiana pozwolenia wojskowego;</w:t>
      </w:r>
    </w:p>
    <w:p w14:paraId="15DBB4DD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  <w:rPr>
          <w:i/>
          <w:iCs/>
        </w:rPr>
      </w:pPr>
      <w:r w:rsidRPr="00F70574">
        <w:t>wydawanie międzynarodowych praw jazdy;</w:t>
      </w:r>
    </w:p>
    <w:p w14:paraId="28B6334A" w14:textId="77777777" w:rsidR="0034097B" w:rsidRPr="00F70574" w:rsidRDefault="0034097B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  <w:rPr>
          <w:i/>
          <w:iCs/>
        </w:rPr>
      </w:pPr>
      <w:r w:rsidRPr="00F70574">
        <w:t>przyjmowanie od osób ubiegających się o uprawnienie do kierowania pojazdami, przed przystąpieniem do szkolenia</w:t>
      </w:r>
      <w:r w:rsidR="00E218C0" w:rsidRPr="00F70574">
        <w:t>,</w:t>
      </w:r>
      <w:r w:rsidRPr="00F70574">
        <w:t xml:space="preserve"> wymaganych przepisami dokumentów oraz ich</w:t>
      </w:r>
      <w:r w:rsidR="00336AE7" w:rsidRPr="00F70574">
        <w:t xml:space="preserve"> </w:t>
      </w:r>
      <w:r w:rsidRPr="00F70574">
        <w:t>weryfikacja;</w:t>
      </w:r>
    </w:p>
    <w:p w14:paraId="70DA6FC7" w14:textId="77777777" w:rsidR="00E218C0" w:rsidRPr="00F70574" w:rsidRDefault="0092673B" w:rsidP="00E218C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generowanie w systemie teleinformatycznym profilu kandydata na kierowcę  oraz przekazywanie informacji o wygenerowaniu profilu kandydata na kierowcę (PKK) osobie, której profil dotyczy;</w:t>
      </w:r>
    </w:p>
    <w:p w14:paraId="06FF1397" w14:textId="77777777" w:rsidR="00E218C0" w:rsidRPr="00F70574" w:rsidRDefault="00E218C0" w:rsidP="00E218C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udostępnianie profilu kandydata na kierowcę (PKK) w systemie teleinformatycznym ośrodkowi szkolenia kierowców, innym podmiotom oraz ośrodkowi egzaminowania przeprowadzającemu egzamin państwowy osoby, której profil dotyczy;</w:t>
      </w:r>
    </w:p>
    <w:p w14:paraId="029F49B9" w14:textId="77777777" w:rsidR="0092673B" w:rsidRPr="00F70574" w:rsidRDefault="00D476D0" w:rsidP="002206BF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na wniosek  wtórnika prawa jazdy w przypadku: utraty lub zniszczenia</w:t>
      </w:r>
      <w:r w:rsidR="0092673B" w:rsidRPr="00F70574">
        <w:t>;</w:t>
      </w:r>
    </w:p>
    <w:p w14:paraId="33DBE4B9" w14:textId="77777777" w:rsidR="00D476D0" w:rsidRPr="00F70574" w:rsidRDefault="0092673B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wymiana dokumentu prawa jazdy</w:t>
      </w:r>
      <w:r w:rsidR="00D476D0" w:rsidRPr="00F70574">
        <w:t xml:space="preserve"> z powodu zmiany danych</w:t>
      </w:r>
      <w:r w:rsidRPr="00F70574">
        <w:t xml:space="preserve"> w nim</w:t>
      </w:r>
      <w:r w:rsidR="00D476D0" w:rsidRPr="00F70574">
        <w:t xml:space="preserve"> zawartych;</w:t>
      </w:r>
    </w:p>
    <w:p w14:paraId="15E24EA0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dokonywanie (w formie wymiany) w prawie jazdy wpisu potwierdzającego odbycie kwalifikacji wstępnej, kwalifikacji wstępnej przyspieszonej, kwalifikacji wstępnej uzupełniającej, kwalifikacji wstępnej uzupełniającej przyspieszonej albo szkolenia okresowego;</w:t>
      </w:r>
    </w:p>
    <w:p w14:paraId="25EF0A32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wymiana z urzędu prawa jazdy wydanego przez państwo członkowskie Unii Europejskiej;</w:t>
      </w:r>
    </w:p>
    <w:p w14:paraId="5E66F13C" w14:textId="77777777" w:rsidR="0092673B" w:rsidRPr="00F70574" w:rsidRDefault="00D476D0" w:rsidP="002206BF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decyzji administracyjnej o skierowaniu kierowcy na kontrolne sprawdzenie kwalifikacji</w:t>
      </w:r>
      <w:r w:rsidR="0092673B" w:rsidRPr="00F70574">
        <w:t>;</w:t>
      </w:r>
    </w:p>
    <w:p w14:paraId="2E41792B" w14:textId="77777777" w:rsidR="0092673B" w:rsidRPr="00F70574" w:rsidRDefault="0092673B" w:rsidP="003914EA">
      <w:pPr>
        <w:numPr>
          <w:ilvl w:val="0"/>
          <w:numId w:val="3"/>
        </w:numPr>
        <w:autoSpaceDE w:val="0"/>
        <w:autoSpaceDN w:val="0"/>
        <w:ind w:left="584" w:hanging="442"/>
        <w:jc w:val="both"/>
        <w:rPr>
          <w:strike/>
        </w:rPr>
      </w:pPr>
      <w:r w:rsidRPr="00F70574">
        <w:t>wydawanie decyzji administracyjnej o skierowaniu kierowcy na badanie lekarskie,  jeżeli istnieją uzasadnione zastrzeżenia co do stanu zdrowia;</w:t>
      </w:r>
    </w:p>
    <w:p w14:paraId="20D22F74" w14:textId="77777777" w:rsidR="0034097B" w:rsidRPr="00F70574" w:rsidRDefault="0092673B" w:rsidP="003914E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informowanie osób</w:t>
      </w:r>
      <w:r w:rsidR="0034097B" w:rsidRPr="00F70574">
        <w:t>, które kierowały pojazdem w stanie nietrzeźwości, w stanie po użyciu alkoholu lub środka działającego podobnie do alkoholu</w:t>
      </w:r>
      <w:r w:rsidRPr="00F70574">
        <w:t xml:space="preserve"> o obowiązku poddania się</w:t>
      </w:r>
      <w:r w:rsidR="0034097B" w:rsidRPr="00F70574">
        <w:t xml:space="preserve"> na badaniu</w:t>
      </w:r>
      <w:r w:rsidR="00D476D0" w:rsidRPr="00F70574">
        <w:t xml:space="preserve"> lekarskie</w:t>
      </w:r>
      <w:r w:rsidR="0034097B" w:rsidRPr="00F70574">
        <w:t>mu</w:t>
      </w:r>
      <w:r w:rsidR="00D476D0" w:rsidRPr="00F70574">
        <w:t xml:space="preserve"> w celu stwierdzenia istnienia lub braku przeciwwskazań zdrowotnych do kierowania pojazdami</w:t>
      </w:r>
      <w:r w:rsidR="00636BC8" w:rsidRPr="00F70574">
        <w:t xml:space="preserve">; </w:t>
      </w:r>
      <w:r w:rsidR="0034097B" w:rsidRPr="00F70574">
        <w:t xml:space="preserve">informowanie osób o obowiązku poddania się na badaniu psychologicznemu w zakresie psychologii transportu w celu stwierdzenia istnienia lub braku przeciwwskazań psychologicznych do kierowania pojazdami, jeżeli: kierowały pojazdem w stanie nietrzeźwości, w stanie po użyciu alkoholu lub środka działającego podobnie do alkoholu, lub przekroczyły liczbę 24 punktów otrzymanych za naruszenia przepisów ruchu drogowego, lub kierując pojazdem spowodowały wypadek, w następstwie którego inna osoba poniosła śmierć lub doznała obrażeń, </w:t>
      </w:r>
      <w:r w:rsidR="00336AE7" w:rsidRPr="00F70574">
        <w:br/>
      </w:r>
      <w:r w:rsidR="0034097B" w:rsidRPr="00F70574">
        <w:t>o których mowa w art. 156 § 1 lub art. 157 § 1 Kk;</w:t>
      </w:r>
    </w:p>
    <w:p w14:paraId="3A733DE6" w14:textId="77777777" w:rsidR="0034097B" w:rsidRPr="00F70574" w:rsidRDefault="0034097B" w:rsidP="003914E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informowanie osób, które kierowały pojazdem w stanie nietrzeźwości, w stanie po użyciu alkoholu lub środka działającego podobnie do alkoholu o obowiązku ukończenia kursu reedukacyjnego;</w:t>
      </w:r>
    </w:p>
    <w:p w14:paraId="721A6257" w14:textId="77777777" w:rsidR="009868A5" w:rsidRPr="00F70574" w:rsidRDefault="009868A5" w:rsidP="0034097B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przyjmowanie zawiadomień lub postanowień innych organów do tego uprawnionych </w:t>
      </w:r>
      <w:r w:rsidRPr="00F70574">
        <w:br/>
        <w:t>o zatrzymaniu prawa jazdy;</w:t>
      </w:r>
    </w:p>
    <w:p w14:paraId="793B8FE0" w14:textId="77777777" w:rsidR="00D476D0" w:rsidRPr="00F70574" w:rsidRDefault="00D476D0" w:rsidP="0034097B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decyzji administracyjnych o zatrzymaniu prawa jazdy;</w:t>
      </w:r>
    </w:p>
    <w:p w14:paraId="7D0B7058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lastRenderedPageBreak/>
        <w:t>wydawanie decyzji administracyjnych o cofnięciu uprawnień do kierowania pojazdami oraz o ich przywróceniu po ustaniu przyczyn, które spowodowały cofnięcie;</w:t>
      </w:r>
    </w:p>
    <w:p w14:paraId="3AE1D66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sprawowanie nadzoru  nad kierującym w zakresie spełnienia wymagań określonych dla uzyskania i posiadania dokumentu stwierdzającego posiadanie uprawnienia do kierowania pojazdem;</w:t>
      </w:r>
    </w:p>
    <w:p w14:paraId="04EC1A8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wydawanie zezwoleń na kierowanie pojazdem uprzywilejowanym oraz przedłużanie ich ważności; </w:t>
      </w:r>
    </w:p>
    <w:p w14:paraId="70C32581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prowadzenie akt ewidencyjnych kierowców oraz akt ewidencyjnych osób bez uprawnień zgodnie z ustawą; </w:t>
      </w:r>
    </w:p>
    <w:p w14:paraId="0982ABFF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wykonywanie prawomocnych wyroków sądowych w zakresie wykonania kary dodatkowej;</w:t>
      </w:r>
    </w:p>
    <w:p w14:paraId="750CF8ED" w14:textId="77777777" w:rsidR="00BF146A" w:rsidRPr="00F70574" w:rsidRDefault="00BF146A" w:rsidP="00BF146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gromadzenie w systemie teleinformatycznym „KIEROWCA” danych wymaganych przepisami ustawy Prawo o ruchu drogowym i ustawy o kierujących pojazdami oraz udostępnianie ich uprawnionym podmiotom z zachowaniem przepisów ust</w:t>
      </w:r>
      <w:r w:rsidR="003914EA" w:rsidRPr="00F70574">
        <w:t xml:space="preserve">awy </w:t>
      </w:r>
      <w:r w:rsidR="00336AE7" w:rsidRPr="00F70574">
        <w:br/>
      </w:r>
      <w:r w:rsidRPr="00F70574">
        <w:t xml:space="preserve">o ochronie danych osobowych; </w:t>
      </w:r>
    </w:p>
    <w:p w14:paraId="0DB68B25" w14:textId="77777777" w:rsidR="00C11F56" w:rsidRPr="00F70574" w:rsidRDefault="00F70574" w:rsidP="00F70574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u</w:t>
      </w:r>
      <w:r w:rsidR="00C11F56" w:rsidRPr="00F70574">
        <w:t>nieważnianie polskiego prawa jazdy otrzymanego od zagranicznego organu po wymianie na prawo jazdy zagraniczne i przekazywanie informacji o unieważnieniu do centralnej ewidencji kierowców,</w:t>
      </w:r>
    </w:p>
    <w:p w14:paraId="2F04C569" w14:textId="77777777" w:rsidR="00C11F56" w:rsidRPr="00F70574" w:rsidRDefault="00C11F56" w:rsidP="00BF146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karty kwalifikacji kierowcy dla osoby posiadającej ważne zagraniczne krajowe prawo jazdy</w:t>
      </w:r>
      <w:r w:rsidR="00BF76A5" w:rsidRPr="00F70574">
        <w:t>,</w:t>
      </w:r>
    </w:p>
    <w:p w14:paraId="6516251C" w14:textId="77777777" w:rsidR="00BF76A5" w:rsidRPr="00F70574" w:rsidRDefault="00BF76A5" w:rsidP="00BF146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akt ewidencyjnych zawodowych kierowców posiadających wydaną kartę kwalifikacji kierowców i akta ewidencyjne osób bez karty kwalifikacji kierowców (osób ubiegających się o jej wydanie);</w:t>
      </w:r>
    </w:p>
    <w:p w14:paraId="1D9A8674" w14:textId="77777777" w:rsidR="00636BC8" w:rsidRPr="00F70574" w:rsidRDefault="00636BC8" w:rsidP="00636BC8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generowanie w systemie teleinformatycznym profilu kierowcy zawodowego  oraz przekazywanie informacji o wygenerowaniu profilu kierowcy zawodowego (PKZ) osobie, której profil dotyczy;</w:t>
      </w:r>
    </w:p>
    <w:p w14:paraId="4C24DD77" w14:textId="77777777" w:rsidR="000A7963" w:rsidRPr="00F70574" w:rsidRDefault="00636BC8" w:rsidP="000A7963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udostępnianie profilu kierowcy zawodowego (PKZ) w systemie teleinformatycznym ośrodkowi szkolenia, szkole lub innym podmiotom prowadzącym szkolenie osoby, której profil dotyczy</w:t>
      </w:r>
      <w:r w:rsidR="00C11F56" w:rsidRPr="00F70574">
        <w:t xml:space="preserve"> oraz wojewódzkiemu ośrodkowi ruchu drogowego lub okręgowej komisji egzaminacyjnej przeprowadzającej test kwalifikacyjny dla osoby, której profil dotyczy;</w:t>
      </w:r>
    </w:p>
    <w:p w14:paraId="3D510974" w14:textId="77777777" w:rsidR="008D5295" w:rsidRPr="00F70574" w:rsidRDefault="008D5295" w:rsidP="00336AE7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spraw związanych z rejestracją pojazdów, wydaniem pozwolenia czasowego i dowodu rejestracyjnego, zalegalizowanych</w:t>
      </w:r>
      <w:r w:rsidR="00D476D0" w:rsidRPr="00F70574">
        <w:t xml:space="preserve"> tablic rejestracyjn</w:t>
      </w:r>
      <w:r w:rsidRPr="00F70574">
        <w:t xml:space="preserve">ych, </w:t>
      </w:r>
    </w:p>
    <w:p w14:paraId="68E47E35" w14:textId="77777777" w:rsidR="008D5295" w:rsidRPr="00F70574" w:rsidRDefault="008D5295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spraw związanych z czasową rejestracją pojazdów</w:t>
      </w:r>
      <w:r w:rsidR="00BF146A" w:rsidRPr="00F70574">
        <w:t>, wydaniem</w:t>
      </w:r>
      <w:r w:rsidRPr="00F70574">
        <w:t xml:space="preserve"> </w:t>
      </w:r>
      <w:r w:rsidR="00070445" w:rsidRPr="00F70574">
        <w:t xml:space="preserve">pozwolenia czasowego, </w:t>
      </w:r>
      <w:r w:rsidR="00D476D0" w:rsidRPr="00F70574">
        <w:t>tablic</w:t>
      </w:r>
      <w:r w:rsidRPr="00F70574">
        <w:t xml:space="preserve"> </w:t>
      </w:r>
      <w:r w:rsidR="00D476D0" w:rsidRPr="00F70574">
        <w:t>tymczasow</w:t>
      </w:r>
      <w:r w:rsidRPr="00F70574">
        <w:t>ych</w:t>
      </w:r>
      <w:r w:rsidR="00D476D0" w:rsidRPr="00F70574">
        <w:t xml:space="preserve"> oraz nalepk</w:t>
      </w:r>
      <w:r w:rsidRPr="00F70574">
        <w:t>i na te tablice;</w:t>
      </w:r>
    </w:p>
    <w:p w14:paraId="20CA93A5" w14:textId="77777777" w:rsidR="00BF146A" w:rsidRPr="00F70574" w:rsidRDefault="00BF146A" w:rsidP="003914E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spraw związanych z profesjonalną rejestracją pojazdów, wydaniem</w:t>
      </w:r>
      <w:r w:rsidR="00070445" w:rsidRPr="00F70574">
        <w:t xml:space="preserve"> profesjonalnej tablicy rejestracyjnej oraz profesjonalnego dowodu rejestracyjnego;</w:t>
      </w:r>
    </w:p>
    <w:p w14:paraId="168ED2FF" w14:textId="77777777" w:rsidR="00D476D0" w:rsidRPr="00F70574" w:rsidRDefault="008D5295" w:rsidP="003914EA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zakł</w:t>
      </w:r>
      <w:r w:rsidR="00070445" w:rsidRPr="00F70574">
        <w:t>adanie,</w:t>
      </w:r>
      <w:r w:rsidRPr="00F70574">
        <w:t xml:space="preserve"> </w:t>
      </w:r>
      <w:r w:rsidR="00D476D0" w:rsidRPr="00F70574">
        <w:t xml:space="preserve">prowadzenie </w:t>
      </w:r>
      <w:r w:rsidR="00070445" w:rsidRPr="00F70574">
        <w:t xml:space="preserve">i archiwizacja </w:t>
      </w:r>
      <w:r w:rsidR="00D476D0" w:rsidRPr="00F70574">
        <w:t>akt pojazdów;</w:t>
      </w:r>
    </w:p>
    <w:p w14:paraId="00414101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zwracanie zatrzymanych przez Policję, Transportowy Dozór Techniczny i inne uprawnione podmioty dowodów rejestracyjnych, po ustaniu przyczyn ich zatrzymania;</w:t>
      </w:r>
    </w:p>
    <w:p w14:paraId="626777F6" w14:textId="77777777" w:rsidR="00D476D0" w:rsidRPr="00F70574" w:rsidRDefault="008D5295" w:rsidP="007E2F6F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dokonywanie </w:t>
      </w:r>
      <w:r w:rsidR="00D476D0" w:rsidRPr="00F70574">
        <w:t>wyrejestrowywa</w:t>
      </w:r>
      <w:r w:rsidRPr="00F70574">
        <w:t>nia pojazdów na wniosek właściciela i z urzędu;</w:t>
      </w:r>
    </w:p>
    <w:p w14:paraId="367205D7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cza</w:t>
      </w:r>
      <w:r w:rsidR="00BF146A" w:rsidRPr="00F70574">
        <w:t>sowe wycofanie z ruchu określonych rodzajów pojazdów;</w:t>
      </w:r>
    </w:p>
    <w:p w14:paraId="4F56D96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decyzji na nabicie numerów identyfikacyjnych pojazdów ujętych w ewidencji, na wykonanie zastępczych tabliczek znamionowych;</w:t>
      </w:r>
    </w:p>
    <w:p w14:paraId="51E02002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kierowanie na dodatkowe badania techniczne w celu ustalenia danych niezbędnych do rejestracji pojazdu; </w:t>
      </w:r>
    </w:p>
    <w:p w14:paraId="1E38DEC5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przyjmowanie zawiadomień o zbyciu pojazdu;</w:t>
      </w:r>
    </w:p>
    <w:p w14:paraId="06C6F094" w14:textId="77777777" w:rsidR="00BF146A" w:rsidRPr="00F70574" w:rsidRDefault="00BF146A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przyjmowanie od właścicieli pojazdów zawiadomień o nabyciu pojazdu;</w:t>
      </w:r>
    </w:p>
    <w:p w14:paraId="19081C69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wtórników i wymiana dokumentów komunikacyjnych (dowodów rejestracyjnych, nalepek legalizacyjnych</w:t>
      </w:r>
      <w:r w:rsidR="00336AE7" w:rsidRPr="00F70574">
        <w:t xml:space="preserve">) </w:t>
      </w:r>
      <w:r w:rsidRPr="00F70574">
        <w:t xml:space="preserve">i tablic rejestracyjnych; </w:t>
      </w:r>
    </w:p>
    <w:p w14:paraId="673695E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wpisywanie i wykreślanie zastrzeżeń w pozwoleniach czasowych, dowodach rejestracyjnych określonych przepisami prawa, m. in. zastawów rejestrowych sądowych oraz adnotacji urzędowych;</w:t>
      </w:r>
    </w:p>
    <w:p w14:paraId="34227E43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lastRenderedPageBreak/>
        <w:t>potwierdzanie danych o pojazdach;</w:t>
      </w:r>
    </w:p>
    <w:p w14:paraId="2A52B006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zamawianie tablic rejestracyjnych i wymaganych przepisami prawa druków dokumentów komunikacyjnych;</w:t>
      </w:r>
    </w:p>
    <w:p w14:paraId="4137AE4C" w14:textId="77777777" w:rsidR="00D476D0" w:rsidRPr="00F70574" w:rsidRDefault="000A5CA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sporządzanie protokołu i przekazanie wycofanych z użytku tablic rejestracyjnych na rzecz przedsiębiorcy dostarczającego tablice rejestracyjne do Starostwa Powiatowego </w:t>
      </w:r>
      <w:r w:rsidR="00336AE7" w:rsidRPr="00F70574">
        <w:br/>
      </w:r>
      <w:r w:rsidRPr="00F70574">
        <w:t xml:space="preserve">w Iławie </w:t>
      </w:r>
      <w:r w:rsidR="00D476D0" w:rsidRPr="00F70574">
        <w:t>oraz protokołów zniszczenia anulowanych dokumentów komunikacyjnych;</w:t>
      </w:r>
    </w:p>
    <w:p w14:paraId="10266477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sporządzanie niezbędnych wykazów (sprawozdań) wymaganych przepisami m. in. dla celów podatkowych, Urzędu Skarbowego;</w:t>
      </w:r>
    </w:p>
    <w:p w14:paraId="2BE8EE51" w14:textId="77777777" w:rsidR="00D476D0" w:rsidRPr="00F70574" w:rsidRDefault="00305389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wprowadzanie i przekazywanie danych do Centralnej Ewidencji Pojazdów</w:t>
      </w:r>
      <w:r w:rsidR="00D476D0" w:rsidRPr="00F70574">
        <w:t xml:space="preserve"> </w:t>
      </w:r>
      <w:r w:rsidRPr="00F70574">
        <w:t xml:space="preserve">(CEP), </w:t>
      </w:r>
      <w:r w:rsidR="00D476D0" w:rsidRPr="00F70574">
        <w:t>wymaganych przepisami ustawy Prawo o ruchu drogowym</w:t>
      </w:r>
      <w:r w:rsidRPr="00F70574">
        <w:t>;</w:t>
      </w:r>
    </w:p>
    <w:p w14:paraId="220B5F09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nakładanie w drodze decyzji administracyjnej kar pieniężnych;</w:t>
      </w:r>
    </w:p>
    <w:p w14:paraId="2949AC4B" w14:textId="77777777" w:rsidR="00D476D0" w:rsidRPr="00F70574" w:rsidRDefault="00D476D0" w:rsidP="00336AE7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dokonywanie na wniosek przedsiębiorcy lub innego podmiotu wpisu do rejestru przedsiębiorców prowadzących stację kontroli pojazdów i wydawanie zaświadczeń potwierdzających wpis;</w:t>
      </w:r>
    </w:p>
    <w:p w14:paraId="0A6392CA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decyzji o zakazie prowadzenia przez przedsiębiorcę stacji kontroli pojazdów, skreślając przedsiębiorcę z rejestru działalności regulowanej;</w:t>
      </w:r>
    </w:p>
    <w:p w14:paraId="2903052F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i cofanie uprawnień diagnostom do dokonywania badań technicznych;</w:t>
      </w:r>
    </w:p>
    <w:p w14:paraId="73EA9F95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sprawowanie nadzoru nad Stacjami Kontroli Pojazdów i diagnostami oraz przeprowadzanie co najmniej raz w roku kontroli -  w zakresie zgodności stacji                                 z wymaganiami, prawidłowości wykonywania badań technicznych pojazdów oraz prawidłowości prowadzenia wymaganej dokumentacji;</w:t>
      </w:r>
    </w:p>
    <w:p w14:paraId="0AF90A39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dokonywanie na wniosek przedsiębiorcy wpisu do rejestru przedsiębiorców prowadzących ośrodek szkolenia kierowców i wydawanie zaświadczeń potwierdzających wpis;</w:t>
      </w:r>
    </w:p>
    <w:p w14:paraId="0F09E030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decyzji o zakazie prowadzenia przez przedsiębiorcę działalności gospodarczej w zakresie prowadzenia ośrodka szkolenia kierowców, skreślając przedsiębiorcę z rejestru działalności regulowanej;</w:t>
      </w:r>
    </w:p>
    <w:p w14:paraId="08EA3CC0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przyjmowanie w terminach określonych ustawą o kierujących informacji z ośrodków szkolenia kierowców  dotyczących: terminu, czasu i miejsca prowadzonych pierwszych zajęć teoretycznych;</w:t>
      </w:r>
    </w:p>
    <w:p w14:paraId="1D2944C7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przyjmowanie w terminach określonych ustawą o kierujących dokumentów zawierających informację o przeprowadzonych kursach oraz o rezygnacji                                   z prowadzenia ośrodka szkolenia kierowców;</w:t>
      </w:r>
    </w:p>
    <w:p w14:paraId="5340548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przyjmowanie w terminach przewidzianych ustawą informacji oraz danych ze szkół                 o podjęciu działalności w zakresie szkolenia osób ubiegających się o uzyskanie uprawnienia do kierowania pojazdami oraz o jego zakończeniu;</w:t>
      </w:r>
    </w:p>
    <w:p w14:paraId="65F73E11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 ewidencji podmiotów (szkoły) prowadzących szkolenie oraz skreślanie ich z ewidencji;</w:t>
      </w:r>
    </w:p>
    <w:p w14:paraId="5915048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poświadczeń  dla przedsiębiorców prowadzących ośrodek szkolenia kierowców potwierdzających spełnienie dodatkowych wymagań oraz ich cofanie;</w:t>
      </w:r>
    </w:p>
    <w:p w14:paraId="165B1CD7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kontrola działalności ośrodka szkolenia kierowców zgodnie z rocznym planem kontroli:</w:t>
      </w:r>
    </w:p>
    <w:p w14:paraId="406E1243" w14:textId="77777777" w:rsidR="00D476D0" w:rsidRPr="00F70574" w:rsidRDefault="00D476D0" w:rsidP="00D476D0">
      <w:pPr>
        <w:numPr>
          <w:ilvl w:val="0"/>
          <w:numId w:val="2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F70574">
        <w:t>kompleksowa – badająca całokształt działalności ośrodka w zakresie wynikającym              z ustawy o kierujących pojazdami oraz przepisów wykonawczych,</w:t>
      </w:r>
    </w:p>
    <w:p w14:paraId="59BF69FB" w14:textId="77777777" w:rsidR="00D476D0" w:rsidRPr="00F70574" w:rsidRDefault="00D476D0" w:rsidP="00D476D0">
      <w:pPr>
        <w:numPr>
          <w:ilvl w:val="0"/>
          <w:numId w:val="2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F70574">
        <w:t>wycinkowa – koncentrująca się na wybranym lub wybranych zagadnieniach związanych z działalnością ośrodka,</w:t>
      </w:r>
    </w:p>
    <w:p w14:paraId="1F51B3A1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kontrola ośrodka szkolenia kierowców wpisanego do rejestru przedsiębiorców prowadzących ośrodek szkolenia kierowców w innym powiecie, którego infrastruktura jest zlokalizowana na obszarze działania Starosty Powiatu Iławskiego;</w:t>
      </w:r>
    </w:p>
    <w:p w14:paraId="1C64DB1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sporządzanie analiz, przetwarzanie oraz podanie do publicznej wiadomości wyników analizy statystycznej w zakresie średniej zdawalności osób szkolonych w danym ośrodku, liczby uwzględnionych skarg złożonych na dany ośrodek;</w:t>
      </w:r>
    </w:p>
    <w:p w14:paraId="6436C72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rozpatrywanie skarg dotyczących działalności ośrodka szkolenia kierowców;</w:t>
      </w:r>
    </w:p>
    <w:p w14:paraId="2482A797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lastRenderedPageBreak/>
        <w:t>wydawanie decyzji o zakazie prowadzenia przez przedsiębiorcę działalności gospodarczej w zakresie prowadzenia ośrodka szkolenia kierowców, skreślając przedsiębiorcę z rejestru przedsiębiorców</w:t>
      </w:r>
      <w:r w:rsidR="00F60482" w:rsidRPr="00F70574">
        <w:t>;</w:t>
      </w:r>
      <w:r w:rsidRPr="00F70574">
        <w:t xml:space="preserve"> </w:t>
      </w:r>
    </w:p>
    <w:p w14:paraId="43641AD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ewidencji instruktorów i wykładowców prowadzących szkolenie kandydatów na kierowców oraz skreślanie ich z ewidencji;</w:t>
      </w:r>
    </w:p>
    <w:p w14:paraId="72662216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instruktorowi legitymacji oraz wykładowcy zaświadczenia o wpisie do ewidencji;</w:t>
      </w:r>
    </w:p>
    <w:p w14:paraId="5336957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przyjmowanie w terminach określonych ustawą</w:t>
      </w:r>
      <w:r w:rsidR="00437D0E" w:rsidRPr="00F70574">
        <w:t xml:space="preserve"> o kierujących pojazdami</w:t>
      </w:r>
      <w:r w:rsidRPr="00F70574">
        <w:t xml:space="preserve"> danych dotyczących numeru ewidencyjnego ośrodka szkolenia lub innego podmiotu, w którym instruktor lub wykładowca prowadzi szkolenie oraz zaświadczeń potwierdzających  uczestnictwo w warsztatach doskonalenia zawodowego;</w:t>
      </w:r>
    </w:p>
    <w:p w14:paraId="70119AAC" w14:textId="77777777" w:rsidR="00476453" w:rsidRPr="00F70574" w:rsidRDefault="00476453" w:rsidP="00476453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prowadzenie postępowań administracyjnych w zakresie spełniania wymogu dobrej </w:t>
      </w:r>
      <w:r w:rsidRPr="00F70574">
        <w:rPr>
          <w:rStyle w:val="Uwydatnienie"/>
          <w:i w:val="0"/>
        </w:rPr>
        <w:t>reputacji</w:t>
      </w:r>
      <w:r w:rsidRPr="00F70574">
        <w:t xml:space="preserve"> przewoźnika drogowego, zarządzającego transportem lub osoby fizycznej,</w:t>
      </w:r>
    </w:p>
    <w:p w14:paraId="6E67B683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</w:t>
      </w:r>
      <w:r w:rsidR="00476453" w:rsidRPr="00F70574">
        <w:t>, zawieszanie,</w:t>
      </w:r>
      <w:r w:rsidRPr="00F70574">
        <w:t xml:space="preserve"> cofanie zezwoleń na wykonywanie zawodu przewoźnika drogowego – uprawniających do podjęcia i wykonywania transportu drogowego;</w:t>
      </w:r>
    </w:p>
    <w:p w14:paraId="1BD1AD83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udzielanie i cofanie licencji na wykonywanie krajowego transportu drogowego                      w zakresie przewozu osób samochodem osobowym, pojazdem samochodowym przeznaczonym konstrukcyjnie do przewozu powyżej 7 i nie więcej niż 9 osób łącznie                    z kierowcą  lub licencji w zakresie pośrednictwa  przy przewozie rzeczy;</w:t>
      </w:r>
    </w:p>
    <w:p w14:paraId="55FA400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wykonywanie zadań związanych z organizowaniem publicznego transportu zbiorowego;</w:t>
      </w:r>
    </w:p>
    <w:p w14:paraId="7C77F4C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wydawanie lub odmowa wydania zezwoleń na wykonywanie przewozów regularnych     i przewozów regularnych specjalnych; </w:t>
      </w:r>
    </w:p>
    <w:p w14:paraId="20F78AF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uzgadnianie wydania zezwolenia z właściwymi organami w zakresie przewozów regularnych;</w:t>
      </w:r>
    </w:p>
    <w:p w14:paraId="539B9AA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zaświadczeń dla przedsiębiorców prowadzących przewozy na potrzeby własne na terenie kraju;</w:t>
      </w:r>
    </w:p>
    <w:p w14:paraId="13898A02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przeprowadzanie analizy sytuacji rynkowej przed podjęciem decyzji w sprawie wydania nowego lub zmiany istniejącego zezwolenia  w zakresie regularnego przewozu osób;</w:t>
      </w:r>
    </w:p>
    <w:p w14:paraId="1E803A2F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przeprowadzanie co najmniej raz w roku analizy sytuacji rynkowej w zakresie regularnego przewozu osób;</w:t>
      </w:r>
    </w:p>
    <w:p w14:paraId="3844CD2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przeprowadzanie co najmniej raz na 5 lat kontroli przedsiębiorcy w zakresie spełnienia wymogów będących podstawą do wydania zezwolenia na wykonywanie zawodu przewoźnika drogowego, licencji, zezwolenia i zaświadczenia o wykonywaniu przewozów na potrzeby własne;</w:t>
      </w:r>
    </w:p>
    <w:p w14:paraId="428028B7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decyzji w sprawie nałożenia kary pieniężnej na przedsiębiorców;</w:t>
      </w:r>
    </w:p>
    <w:p w14:paraId="49A6C780" w14:textId="77777777" w:rsidR="00D476D0" w:rsidRPr="00F70574" w:rsidRDefault="00D476D0" w:rsidP="00336AE7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wydawanie zezwoleń na przejazdy dla pojazdów nienormatywnych w przypadku przekroczenia szerokości, długości lub wysokości od dopuszczalnych określonych                 w przepisach;</w:t>
      </w:r>
    </w:p>
    <w:p w14:paraId="1E405D3B" w14:textId="77777777" w:rsidR="00D476D0" w:rsidRPr="00F70574" w:rsidRDefault="00631D3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prowadzenie spraw </w:t>
      </w:r>
      <w:r w:rsidR="00D476D0" w:rsidRPr="00F70574">
        <w:t>związanych z usuwaniem pojazdów z dr</w:t>
      </w:r>
      <w:r w:rsidRPr="00F70574">
        <w:t>ogi</w:t>
      </w:r>
      <w:r w:rsidR="00D476D0" w:rsidRPr="00F70574">
        <w:t xml:space="preserve"> oraz prowadzeniem parkingu strzeżonego dla pojazdów usuniętych;</w:t>
      </w:r>
    </w:p>
    <w:p w14:paraId="26457135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coroczne przygotowywanie </w:t>
      </w:r>
      <w:r w:rsidR="00305389" w:rsidRPr="00F70574">
        <w:t xml:space="preserve">projektów </w:t>
      </w:r>
      <w:r w:rsidRPr="00F70574">
        <w:t>uchwał dla rady powiatu, ustalających wysokość opłat za usunięcie pojazdu z drogi i jego u</w:t>
      </w:r>
      <w:r w:rsidR="00305389" w:rsidRPr="00F70574">
        <w:t xml:space="preserve">mieszczenie i przechowywanie na </w:t>
      </w:r>
      <w:r w:rsidRPr="00F70574">
        <w:t>parkingu strzeżonym oraz wysokość kosztów w przypadku odstąpienia od usunięcia pojazdu, jeżeli przed wydaniem dyspozycji usunięcia pojazdu lub w trakcie usuwania ustaną przyczyny jego usunięcia, a spowoduje to powstanie kosztów;</w:t>
      </w:r>
    </w:p>
    <w:p w14:paraId="5114D0C0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występowanie do sądu z wnioskiem o orzeczenie przepadku na rzecz powiatu pojazdu usuniętego z drogi, umieszczonego na parkingu strzeżonym, jeżeli prawidłowo powiadomiony właściciel lub uprawniona osoba i nie odebrała pojazdu  w terminie               3 miesięcy od dnia jego usunięcia;</w:t>
      </w:r>
    </w:p>
    <w:p w14:paraId="26992F11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 xml:space="preserve">przekazywanie właściwemu naczelnikowi urzędu  </w:t>
      </w:r>
      <w:r w:rsidR="00326B85" w:rsidRPr="00F70574">
        <w:t xml:space="preserve">celno-skarbowego </w:t>
      </w:r>
      <w:r w:rsidRPr="00F70574">
        <w:t>pojazdów usuniętych z drogi nie zarejestrowanych w żadnym z państw członkowskich UE;</w:t>
      </w:r>
    </w:p>
    <w:p w14:paraId="5DAF666E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wykonywanie orzeczeń sądu orzekających przepadek pojazdu na rzecz powiatu;</w:t>
      </w:r>
    </w:p>
    <w:p w14:paraId="2CF98033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lastRenderedPageBreak/>
        <w:t>wydawanie decyzji, dla właścicieli pojazdów lub osoby dysponującej pojazdem, ustalających  wysokość kosztów związanych z usuwaniem, przechowywaniem, oszacowaniem, sprzedażą lub zniszczeniem pojazdu, powstałych od momentu wydania dyspozycji jego usunięcia do zakończenia postępowania;</w:t>
      </w:r>
    </w:p>
    <w:p w14:paraId="7AB7F020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opracowywanie lub zlecanie do opracowania projektów organizacji ruchu;</w:t>
      </w:r>
    </w:p>
    <w:p w14:paraId="7D84066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rozpatrywanie wniosków dotyczących zmian organizacji ruchu oraz projektów organizacji ruchu;</w:t>
      </w:r>
    </w:p>
    <w:p w14:paraId="4CF6137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zatwierdzanie organizacji ruchu na podstawie złożonych wniosków i określanie terminu jej wdrożenia;</w:t>
      </w:r>
    </w:p>
    <w:p w14:paraId="17551CFD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przekazywanie zatwierdzonej  organizacji ruchu do realizacji;</w:t>
      </w:r>
    </w:p>
    <w:p w14:paraId="3745D334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przeprowadzanie kontroli wykonania zadań technicznych wynikających z realizacji projektów stałej organizacji ruchu;</w:t>
      </w:r>
    </w:p>
    <w:p w14:paraId="0CC43BB3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ewidencji i przechowywanie zatwierdzonych projektów organizacji ruchu lub jej zmian;</w:t>
      </w:r>
    </w:p>
    <w:p w14:paraId="5F32F248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kontroli prawidłowości zastosowania i funkcjonowania znaków drogowych, urządzeń sygnalizacji dźwiękowej, urządzeń bezpieczeństwa ruchu drogowego oraz ich zgodności z zatwierdzoną organizacją ruchu;</w:t>
      </w:r>
    </w:p>
    <w:p w14:paraId="40858D19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utrzymywanie współpracy w zakresie organizacji ruchu i jego bezpieczeństwa z innymi organami zarządzania ruchem;</w:t>
      </w:r>
    </w:p>
    <w:p w14:paraId="5E82C2DC" w14:textId="77777777" w:rsidR="00D476D0" w:rsidRPr="00F70574" w:rsidRDefault="00D476D0" w:rsidP="00D476D0">
      <w:pPr>
        <w:numPr>
          <w:ilvl w:val="0"/>
          <w:numId w:val="3"/>
        </w:numPr>
        <w:autoSpaceDE w:val="0"/>
        <w:autoSpaceDN w:val="0"/>
        <w:ind w:left="584" w:hanging="442"/>
        <w:jc w:val="both"/>
      </w:pPr>
      <w:r w:rsidRPr="00F70574">
        <w:t>prowadzenie analiz organizacji i bezpieczeństwa ruchu.</w:t>
      </w:r>
    </w:p>
    <w:p w14:paraId="597A5666" w14:textId="77777777" w:rsidR="00D476D0" w:rsidRPr="00F70574" w:rsidRDefault="00D476D0" w:rsidP="00D476D0">
      <w:pPr>
        <w:autoSpaceDE w:val="0"/>
        <w:autoSpaceDN w:val="0"/>
        <w:ind w:left="142"/>
        <w:jc w:val="both"/>
      </w:pPr>
    </w:p>
    <w:p w14:paraId="45517726" w14:textId="77777777" w:rsidR="00D476D0" w:rsidRPr="00F70574" w:rsidRDefault="00D476D0" w:rsidP="00D476D0">
      <w:pPr>
        <w:ind w:left="300"/>
        <w:jc w:val="both"/>
        <w:rPr>
          <w:b/>
          <w:bCs/>
        </w:rPr>
      </w:pPr>
      <w:r w:rsidRPr="00F70574">
        <w:t xml:space="preserve"> * Przy oznaczaniu akt Wydział stosuje symbol</w:t>
      </w:r>
      <w:r w:rsidRPr="00F70574">
        <w:rPr>
          <w:b/>
        </w:rPr>
        <w:t xml:space="preserve"> </w:t>
      </w:r>
      <w:r w:rsidRPr="00F70574">
        <w:rPr>
          <w:b/>
          <w:bCs/>
        </w:rPr>
        <w:t>K.</w:t>
      </w:r>
    </w:p>
    <w:p w14:paraId="6154BC74" w14:textId="77777777" w:rsidR="00834AB3" w:rsidRDefault="00834AB3" w:rsidP="00D476D0"/>
    <w:p w14:paraId="0ACE8B35" w14:textId="77777777" w:rsidR="007760E4" w:rsidRDefault="007760E4" w:rsidP="00D476D0"/>
    <w:p w14:paraId="30BF144C" w14:textId="77777777" w:rsidR="007760E4" w:rsidRDefault="007760E4" w:rsidP="00D476D0"/>
    <w:p w14:paraId="2D7A693F" w14:textId="77777777" w:rsidR="007760E4" w:rsidRPr="001A5D5B" w:rsidRDefault="007760E4" w:rsidP="007760E4">
      <w:pPr>
        <w:spacing w:before="100" w:beforeAutospacing="1" w:after="100" w:afterAutospacing="1"/>
        <w:jc w:val="both"/>
        <w:rPr>
          <w:b/>
          <w:bCs/>
        </w:rPr>
      </w:pPr>
      <w:r w:rsidRPr="001A5D5B">
        <w:rPr>
          <w:b/>
          <w:bCs/>
        </w:rPr>
        <w:t>XV. Do zakresu działania wszystkich komórek organizacyjnych należy:</w:t>
      </w:r>
    </w:p>
    <w:p w14:paraId="4C247439" w14:textId="77777777" w:rsidR="007760E4" w:rsidRPr="00937FB1" w:rsidRDefault="007760E4" w:rsidP="007760E4">
      <w:pPr>
        <w:jc w:val="both"/>
      </w:pPr>
      <w:r w:rsidRPr="00937FB1">
        <w:t xml:space="preserve">realizacja zadań określonych w </w:t>
      </w:r>
      <w:r>
        <w:t>powszechnie obowiązujących przepisach</w:t>
      </w:r>
      <w:r w:rsidRPr="00937FB1">
        <w:t xml:space="preserve"> w zakresie wynikającym z merytorycznych zadań danej komórki organizacyjnej, w szczególności:</w:t>
      </w:r>
    </w:p>
    <w:p w14:paraId="2D8B7C7C" w14:textId="77777777" w:rsidR="007760E4" w:rsidRPr="001A5D5B" w:rsidRDefault="007760E4" w:rsidP="007760E4">
      <w:pPr>
        <w:pStyle w:val="Akapitzlist"/>
        <w:numPr>
          <w:ilvl w:val="1"/>
          <w:numId w:val="8"/>
        </w:numPr>
        <w:spacing w:after="160" w:line="259" w:lineRule="auto"/>
        <w:ind w:left="709" w:hanging="425"/>
        <w:jc w:val="both"/>
      </w:pPr>
      <w:r w:rsidRPr="001A5D5B">
        <w:t>przygotowywanie procedur i realizowanie zamówień publicznych na podstawie wewnętrznych uregulowań Starostwa,</w:t>
      </w:r>
    </w:p>
    <w:p w14:paraId="5B33695A" w14:textId="77777777" w:rsidR="007760E4" w:rsidRPr="001A5D5B" w:rsidRDefault="007760E4" w:rsidP="007760E4">
      <w:pPr>
        <w:pStyle w:val="Akapitzlist"/>
        <w:numPr>
          <w:ilvl w:val="1"/>
          <w:numId w:val="8"/>
        </w:numPr>
        <w:spacing w:after="160" w:line="259" w:lineRule="auto"/>
        <w:ind w:left="709" w:hanging="425"/>
        <w:jc w:val="both"/>
      </w:pPr>
      <w:r w:rsidRPr="001A5D5B">
        <w:t xml:space="preserve">terminowe publikowanie w  rejestrze umów prowadzonym przez Ministra Finansów wszystkich umów zawartych w formie pisemnej, dokumentowej, elektronicznej albo innej formie szczególnej, </w:t>
      </w:r>
      <w:r w:rsidR="003E2108">
        <w:t>co do których istnieje obowiązek ich ujawniania w rejestrze</w:t>
      </w:r>
      <w:r w:rsidRPr="001A5D5B">
        <w:t>,</w:t>
      </w:r>
    </w:p>
    <w:p w14:paraId="5E5D8666" w14:textId="77777777" w:rsidR="007760E4" w:rsidRDefault="007760E4" w:rsidP="007760E4">
      <w:pPr>
        <w:pStyle w:val="Akapitzlist"/>
        <w:numPr>
          <w:ilvl w:val="1"/>
          <w:numId w:val="8"/>
        </w:numPr>
        <w:spacing w:after="160" w:line="259" w:lineRule="auto"/>
        <w:ind w:left="709" w:hanging="425"/>
        <w:jc w:val="both"/>
      </w:pPr>
      <w:r w:rsidRPr="001A5D5B">
        <w:t>terminowe przygotowywanie odpowiedzi na wnioski o udzielenie informacji publicznej i złożone petycje</w:t>
      </w:r>
      <w:r>
        <w:t>,</w:t>
      </w:r>
    </w:p>
    <w:p w14:paraId="44F9D5B0" w14:textId="77777777" w:rsidR="007760E4" w:rsidRPr="001A5D5B" w:rsidRDefault="00426B0A" w:rsidP="007760E4">
      <w:pPr>
        <w:pStyle w:val="Akapitzlist"/>
        <w:numPr>
          <w:ilvl w:val="1"/>
          <w:numId w:val="8"/>
        </w:numPr>
        <w:spacing w:after="160" w:line="259" w:lineRule="auto"/>
        <w:ind w:left="709" w:hanging="425"/>
        <w:jc w:val="both"/>
      </w:pPr>
      <w:r w:rsidRPr="00426B0A">
        <w:t>czynny udział w komisyjnym brakowaniu i przekazywaniu dokumentacji do zniszczenia po uprzednim uzyskaniu zgody miejscowo właściwego archiwum państwowego</w:t>
      </w:r>
      <w:r w:rsidR="007760E4" w:rsidRPr="001A5D5B">
        <w:t>.</w:t>
      </w:r>
    </w:p>
    <w:p w14:paraId="3F87AA96" w14:textId="77777777" w:rsidR="007760E4" w:rsidRPr="00F70574" w:rsidRDefault="007760E4" w:rsidP="00D476D0"/>
    <w:sectPr w:rsidR="007760E4" w:rsidRPr="00F70574" w:rsidSect="00A54523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3830"/>
    <w:multiLevelType w:val="hybridMultilevel"/>
    <w:tmpl w:val="B462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C6E"/>
    <w:multiLevelType w:val="hybridMultilevel"/>
    <w:tmpl w:val="502E4B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C5F55"/>
    <w:multiLevelType w:val="hybridMultilevel"/>
    <w:tmpl w:val="93106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4FDB"/>
    <w:multiLevelType w:val="hybridMultilevel"/>
    <w:tmpl w:val="81DE994A"/>
    <w:lvl w:ilvl="0" w:tplc="BD9A7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B60E3"/>
    <w:multiLevelType w:val="hybridMultilevel"/>
    <w:tmpl w:val="10944EC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5" w15:restartNumberingAfterBreak="0">
    <w:nsid w:val="71BF6A92"/>
    <w:multiLevelType w:val="singleLevel"/>
    <w:tmpl w:val="B492BB2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" w15:restartNumberingAfterBreak="0">
    <w:nsid w:val="76E04B05"/>
    <w:multiLevelType w:val="hybridMultilevel"/>
    <w:tmpl w:val="8CC614E0"/>
    <w:lvl w:ilvl="0" w:tplc="5B3ECB6C">
      <w:start w:val="1"/>
      <w:numFmt w:val="decimal"/>
      <w:lvlText w:val="%1. 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46D1"/>
    <w:multiLevelType w:val="hybridMultilevel"/>
    <w:tmpl w:val="2814EF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07052725">
    <w:abstractNumId w:val="5"/>
  </w:num>
  <w:num w:numId="2" w16cid:durableId="414598678">
    <w:abstractNumId w:val="4"/>
  </w:num>
  <w:num w:numId="3" w16cid:durableId="2061781311">
    <w:abstractNumId w:val="6"/>
  </w:num>
  <w:num w:numId="4" w16cid:durableId="1651599228">
    <w:abstractNumId w:val="2"/>
  </w:num>
  <w:num w:numId="5" w16cid:durableId="51661782">
    <w:abstractNumId w:val="3"/>
  </w:num>
  <w:num w:numId="6" w16cid:durableId="786974218">
    <w:abstractNumId w:val="0"/>
  </w:num>
  <w:num w:numId="7" w16cid:durableId="460534291">
    <w:abstractNumId w:val="7"/>
  </w:num>
  <w:num w:numId="8" w16cid:durableId="153519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162"/>
    <w:rsid w:val="000300B3"/>
    <w:rsid w:val="0006454D"/>
    <w:rsid w:val="00070445"/>
    <w:rsid w:val="000A5CA0"/>
    <w:rsid w:val="000A7963"/>
    <w:rsid w:val="002206BF"/>
    <w:rsid w:val="00257897"/>
    <w:rsid w:val="00305389"/>
    <w:rsid w:val="00326B85"/>
    <w:rsid w:val="00336AE7"/>
    <w:rsid w:val="0034097B"/>
    <w:rsid w:val="0035774B"/>
    <w:rsid w:val="00371CEA"/>
    <w:rsid w:val="003914EA"/>
    <w:rsid w:val="003A3880"/>
    <w:rsid w:val="003E2108"/>
    <w:rsid w:val="00426B0A"/>
    <w:rsid w:val="00437D0E"/>
    <w:rsid w:val="00452398"/>
    <w:rsid w:val="00476453"/>
    <w:rsid w:val="004B381C"/>
    <w:rsid w:val="005050B3"/>
    <w:rsid w:val="005A7CD9"/>
    <w:rsid w:val="00631D30"/>
    <w:rsid w:val="00636BC8"/>
    <w:rsid w:val="006434D3"/>
    <w:rsid w:val="00664F02"/>
    <w:rsid w:val="006B123A"/>
    <w:rsid w:val="006F3162"/>
    <w:rsid w:val="00763796"/>
    <w:rsid w:val="007760E4"/>
    <w:rsid w:val="007D3A1A"/>
    <w:rsid w:val="007E2F6F"/>
    <w:rsid w:val="00834AB3"/>
    <w:rsid w:val="008379DC"/>
    <w:rsid w:val="00846F74"/>
    <w:rsid w:val="008C0C67"/>
    <w:rsid w:val="008D5295"/>
    <w:rsid w:val="00903E4E"/>
    <w:rsid w:val="0092673B"/>
    <w:rsid w:val="00971DB8"/>
    <w:rsid w:val="009868A5"/>
    <w:rsid w:val="009C25F5"/>
    <w:rsid w:val="00A25067"/>
    <w:rsid w:val="00A4118F"/>
    <w:rsid w:val="00A54523"/>
    <w:rsid w:val="00BF146A"/>
    <w:rsid w:val="00BF76A5"/>
    <w:rsid w:val="00C03823"/>
    <w:rsid w:val="00C11F56"/>
    <w:rsid w:val="00CD436B"/>
    <w:rsid w:val="00D15C0D"/>
    <w:rsid w:val="00D300B0"/>
    <w:rsid w:val="00D35BD8"/>
    <w:rsid w:val="00D476D0"/>
    <w:rsid w:val="00DE39FB"/>
    <w:rsid w:val="00E218C0"/>
    <w:rsid w:val="00E34932"/>
    <w:rsid w:val="00E809B6"/>
    <w:rsid w:val="00F07E1D"/>
    <w:rsid w:val="00F60482"/>
    <w:rsid w:val="00F70574"/>
    <w:rsid w:val="00FA0416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450D"/>
  <w15:docId w15:val="{52DEA467-5789-48C8-B6C8-C664BE4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F3162"/>
    <w:pPr>
      <w:keepNext/>
      <w:numPr>
        <w:numId w:val="1"/>
      </w:numPr>
      <w:tabs>
        <w:tab w:val="left" w:pos="6379"/>
      </w:tabs>
      <w:autoSpaceDE w:val="0"/>
      <w:autoSpaceDN w:val="0"/>
      <w:spacing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F3162"/>
    <w:rPr>
      <w:rFonts w:ascii="Arial" w:eastAsia="Times New Roman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476453"/>
    <w:rPr>
      <w:i/>
      <w:iCs/>
    </w:rPr>
  </w:style>
  <w:style w:type="paragraph" w:styleId="Tytu">
    <w:name w:val="Title"/>
    <w:basedOn w:val="Normalny"/>
    <w:link w:val="TytuZnak"/>
    <w:qFormat/>
    <w:rsid w:val="00336AE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36A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5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057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05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0574"/>
    <w:pPr>
      <w:jc w:val="center"/>
    </w:pPr>
    <w:rPr>
      <w:b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F7057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70574"/>
    <w:pPr>
      <w:ind w:left="1068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05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g-binding">
    <w:name w:val="ng-binding"/>
    <w:rsid w:val="00F70574"/>
  </w:style>
  <w:style w:type="paragraph" w:styleId="Akapitzlist">
    <w:name w:val="List Paragraph"/>
    <w:basedOn w:val="Normalny"/>
    <w:uiPriority w:val="34"/>
    <w:qFormat/>
    <w:rsid w:val="00F7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Sylwia Rękawiecka</cp:lastModifiedBy>
  <cp:revision>8</cp:revision>
  <cp:lastPrinted>2022-11-08T09:07:00Z</cp:lastPrinted>
  <dcterms:created xsi:type="dcterms:W3CDTF">2022-11-04T12:43:00Z</dcterms:created>
  <dcterms:modified xsi:type="dcterms:W3CDTF">2022-11-09T07:33:00Z</dcterms:modified>
</cp:coreProperties>
</file>