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12" w:rsidRPr="00005212" w:rsidRDefault="00005212" w:rsidP="00005212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  <w:lang w:eastAsia="pl-PL"/>
        </w:rPr>
      </w:pPr>
      <w:r w:rsidRPr="00005212">
        <w:rPr>
          <w:rFonts w:ascii="Tahoma" w:eastAsia="Calibri" w:hAnsi="Tahoma" w:cs="Tahoma"/>
          <w:sz w:val="20"/>
          <w:szCs w:val="20"/>
          <w:lang w:eastAsia="pl-PL"/>
        </w:rPr>
        <w:t xml:space="preserve">Uchwała Nr </w:t>
      </w:r>
      <w:r w:rsidR="00D0142C">
        <w:rPr>
          <w:rFonts w:ascii="Tahoma" w:eastAsia="Calibri" w:hAnsi="Tahoma" w:cs="Tahoma"/>
          <w:sz w:val="20"/>
          <w:szCs w:val="20"/>
          <w:lang w:eastAsia="pl-PL"/>
        </w:rPr>
        <w:t>145</w:t>
      </w:r>
      <w:r w:rsidRPr="00005212">
        <w:rPr>
          <w:rFonts w:ascii="Tahoma" w:eastAsia="Calibri" w:hAnsi="Tahoma" w:cs="Tahoma"/>
          <w:sz w:val="20"/>
          <w:szCs w:val="20"/>
          <w:lang w:eastAsia="pl-PL"/>
        </w:rPr>
        <w:t>/</w:t>
      </w:r>
      <w:r w:rsidR="00D0142C">
        <w:rPr>
          <w:rFonts w:ascii="Tahoma" w:eastAsia="Calibri" w:hAnsi="Tahoma" w:cs="Tahoma"/>
          <w:sz w:val="20"/>
          <w:szCs w:val="20"/>
          <w:lang w:eastAsia="pl-PL"/>
        </w:rPr>
        <w:t>617</w:t>
      </w:r>
      <w:r w:rsidRPr="00005212">
        <w:rPr>
          <w:rFonts w:ascii="Tahoma" w:eastAsia="Calibri" w:hAnsi="Tahoma" w:cs="Tahoma"/>
          <w:sz w:val="20"/>
          <w:szCs w:val="20"/>
          <w:lang w:eastAsia="pl-PL"/>
        </w:rPr>
        <w:t>/1</w:t>
      </w:r>
      <w:r w:rsidR="00D0142C">
        <w:rPr>
          <w:rFonts w:ascii="Tahoma" w:eastAsia="Calibri" w:hAnsi="Tahoma" w:cs="Tahoma"/>
          <w:sz w:val="20"/>
          <w:szCs w:val="20"/>
          <w:lang w:eastAsia="pl-PL"/>
        </w:rPr>
        <w:t>7</w:t>
      </w:r>
    </w:p>
    <w:p w:rsidR="00005212" w:rsidRPr="00005212" w:rsidRDefault="00005212" w:rsidP="00005212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  <w:lang w:eastAsia="pl-PL"/>
        </w:rPr>
      </w:pPr>
      <w:r w:rsidRPr="00005212">
        <w:rPr>
          <w:rFonts w:ascii="Tahoma" w:eastAsia="Calibri" w:hAnsi="Tahoma" w:cs="Tahoma"/>
          <w:sz w:val="20"/>
          <w:szCs w:val="20"/>
          <w:lang w:eastAsia="pl-PL"/>
        </w:rPr>
        <w:t>Zarządu Powiatu Iławskiego</w:t>
      </w:r>
    </w:p>
    <w:p w:rsidR="00005212" w:rsidRPr="00005212" w:rsidRDefault="00BD6655" w:rsidP="00005212">
      <w:pPr>
        <w:spacing w:after="0" w:line="240" w:lineRule="auto"/>
        <w:jc w:val="center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  <w:lang w:eastAsia="pl-PL"/>
        </w:rPr>
        <w:t xml:space="preserve">z dnia </w:t>
      </w:r>
      <w:r w:rsidR="00D0142C">
        <w:rPr>
          <w:rFonts w:ascii="Tahoma" w:eastAsia="Calibri" w:hAnsi="Tahoma" w:cs="Tahoma"/>
          <w:sz w:val="20"/>
          <w:szCs w:val="20"/>
          <w:lang w:eastAsia="pl-PL"/>
        </w:rPr>
        <w:t>8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 lutego</w:t>
      </w:r>
      <w:r w:rsidR="00005212" w:rsidRPr="00005212">
        <w:rPr>
          <w:rFonts w:ascii="Tahoma" w:eastAsia="Calibri" w:hAnsi="Tahoma" w:cs="Tahoma"/>
          <w:sz w:val="20"/>
          <w:szCs w:val="20"/>
          <w:lang w:eastAsia="pl-PL"/>
        </w:rPr>
        <w:t xml:space="preserve"> 201</w:t>
      </w:r>
      <w:r w:rsidR="00D0142C">
        <w:rPr>
          <w:rFonts w:ascii="Tahoma" w:eastAsia="Calibri" w:hAnsi="Tahoma" w:cs="Tahoma"/>
          <w:sz w:val="20"/>
          <w:szCs w:val="20"/>
          <w:lang w:eastAsia="pl-PL"/>
        </w:rPr>
        <w:t>7</w:t>
      </w:r>
      <w:r w:rsidR="00005212" w:rsidRPr="00005212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r. </w:t>
      </w:r>
    </w:p>
    <w:p w:rsidR="00005212" w:rsidRPr="00005212" w:rsidRDefault="00005212" w:rsidP="00005212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</w:p>
    <w:p w:rsidR="00005212" w:rsidRPr="00005212" w:rsidRDefault="00005212" w:rsidP="00005212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</w:p>
    <w:p w:rsidR="00005212" w:rsidRPr="00005212" w:rsidRDefault="00005212" w:rsidP="00005212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  <w:lang w:eastAsia="pl-PL"/>
        </w:rPr>
        <w:t>w sprawie:</w:t>
      </w:r>
      <w:r w:rsidR="00353F1A">
        <w:rPr>
          <w:rFonts w:ascii="Tahoma" w:eastAsia="Calibri" w:hAnsi="Tahoma" w:cs="Tahoma"/>
          <w:sz w:val="20"/>
          <w:szCs w:val="20"/>
          <w:lang w:eastAsia="pl-PL"/>
        </w:rPr>
        <w:t xml:space="preserve"> wprowadzenia ewidencji oraz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 trybu likwidacji rzeczy znalezionych, które stały się własnością Powiatu Iławskiego</w:t>
      </w:r>
      <w:r w:rsidRPr="00005212">
        <w:rPr>
          <w:rFonts w:ascii="Tahoma" w:eastAsia="Calibri" w:hAnsi="Tahoma" w:cs="Tahoma"/>
          <w:sz w:val="20"/>
          <w:szCs w:val="20"/>
          <w:lang w:eastAsia="pl-PL"/>
        </w:rPr>
        <w:t>.</w:t>
      </w:r>
    </w:p>
    <w:p w:rsidR="00005212" w:rsidRPr="00005212" w:rsidRDefault="00005212" w:rsidP="00005212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005212" w:rsidRPr="00005212" w:rsidRDefault="00005212" w:rsidP="00005212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005212">
        <w:rPr>
          <w:rFonts w:ascii="Tahoma" w:eastAsia="Calibri" w:hAnsi="Tahoma" w:cs="Tahoma"/>
          <w:sz w:val="20"/>
          <w:szCs w:val="20"/>
          <w:lang w:eastAsia="pl-PL"/>
        </w:rPr>
        <w:t>Na podstawie art. 26 ust. 1, 32 ust. 1</w:t>
      </w:r>
      <w:r w:rsidR="00C36214">
        <w:rPr>
          <w:rFonts w:ascii="Tahoma" w:eastAsia="Calibri" w:hAnsi="Tahoma" w:cs="Tahoma"/>
          <w:sz w:val="20"/>
          <w:szCs w:val="20"/>
          <w:lang w:eastAsia="pl-PL"/>
        </w:rPr>
        <w:t xml:space="preserve">, ust. 2 </w:t>
      </w:r>
      <w:proofErr w:type="spellStart"/>
      <w:r w:rsidR="00C36214">
        <w:rPr>
          <w:rFonts w:ascii="Tahoma" w:eastAsia="Calibri" w:hAnsi="Tahoma" w:cs="Tahoma"/>
          <w:sz w:val="20"/>
          <w:szCs w:val="20"/>
          <w:lang w:eastAsia="pl-PL"/>
        </w:rPr>
        <w:t>pkt</w:t>
      </w:r>
      <w:proofErr w:type="spellEnd"/>
      <w:r w:rsidR="00C36214">
        <w:rPr>
          <w:rFonts w:ascii="Tahoma" w:eastAsia="Calibri" w:hAnsi="Tahoma" w:cs="Tahoma"/>
          <w:sz w:val="20"/>
          <w:szCs w:val="20"/>
          <w:lang w:eastAsia="pl-PL"/>
        </w:rPr>
        <w:t xml:space="preserve"> 3</w:t>
      </w:r>
      <w:r w:rsidRPr="00005212">
        <w:rPr>
          <w:rFonts w:ascii="Tahoma" w:eastAsia="Calibri" w:hAnsi="Tahoma" w:cs="Tahoma"/>
          <w:sz w:val="20"/>
          <w:szCs w:val="20"/>
          <w:lang w:eastAsia="pl-PL"/>
        </w:rPr>
        <w:t xml:space="preserve"> ustawy z dnia 5 czerwca 1998 r. o samorz</w:t>
      </w:r>
      <w:r w:rsidR="00C36214">
        <w:rPr>
          <w:rFonts w:ascii="Tahoma" w:eastAsia="Calibri" w:hAnsi="Tahoma" w:cs="Tahoma"/>
          <w:sz w:val="20"/>
          <w:szCs w:val="20"/>
          <w:lang w:eastAsia="pl-PL"/>
        </w:rPr>
        <w:t xml:space="preserve">ądzie powiatowym </w:t>
      </w:r>
      <w:r w:rsidR="006E2441">
        <w:rPr>
          <w:rFonts w:ascii="Tahoma" w:eastAsia="Calibri" w:hAnsi="Tahoma" w:cs="Tahoma"/>
          <w:sz w:val="20"/>
          <w:szCs w:val="20"/>
          <w:lang w:eastAsia="pl-PL"/>
        </w:rPr>
        <w:t>(Dz. U. z 2016 r., poz. 814</w:t>
      </w:r>
      <w:r w:rsidR="00AE3DEE">
        <w:rPr>
          <w:rFonts w:ascii="Tahoma" w:eastAsia="Calibri" w:hAnsi="Tahoma" w:cs="Tahoma"/>
          <w:sz w:val="20"/>
          <w:szCs w:val="20"/>
          <w:lang w:eastAsia="pl-PL"/>
        </w:rPr>
        <w:t xml:space="preserve"> z</w:t>
      </w:r>
      <w:r w:rsidR="00D87D72">
        <w:rPr>
          <w:rFonts w:ascii="Tahoma" w:eastAsia="Calibri" w:hAnsi="Tahoma" w:cs="Tahoma"/>
          <w:sz w:val="20"/>
          <w:szCs w:val="20"/>
          <w:lang w:eastAsia="pl-PL"/>
        </w:rPr>
        <w:t>e</w:t>
      </w:r>
      <w:r w:rsidR="00AE3DEE">
        <w:rPr>
          <w:rFonts w:ascii="Tahoma" w:eastAsia="Calibri" w:hAnsi="Tahoma" w:cs="Tahoma"/>
          <w:sz w:val="20"/>
          <w:szCs w:val="20"/>
          <w:lang w:eastAsia="pl-PL"/>
        </w:rPr>
        <w:t xml:space="preserve"> zm.</w:t>
      </w:r>
      <w:r w:rsidR="00C36214">
        <w:rPr>
          <w:rFonts w:ascii="Tahoma" w:eastAsia="Calibri" w:hAnsi="Tahoma" w:cs="Tahoma"/>
          <w:sz w:val="20"/>
          <w:szCs w:val="20"/>
          <w:lang w:eastAsia="pl-PL"/>
        </w:rPr>
        <w:t xml:space="preserve">) w związku z </w:t>
      </w:r>
      <w:r w:rsidR="006E2441">
        <w:rPr>
          <w:rFonts w:ascii="Tahoma" w:eastAsia="Calibri" w:hAnsi="Tahoma" w:cs="Tahoma"/>
          <w:sz w:val="20"/>
          <w:szCs w:val="20"/>
          <w:lang w:eastAsia="pl-PL"/>
        </w:rPr>
        <w:t>art. 187 § 2</w:t>
      </w:r>
      <w:r w:rsidR="00D87D72">
        <w:rPr>
          <w:rFonts w:ascii="Tahoma" w:eastAsia="Calibri" w:hAnsi="Tahoma" w:cs="Tahoma"/>
          <w:sz w:val="20"/>
          <w:szCs w:val="20"/>
          <w:lang w:eastAsia="pl-PL"/>
        </w:rPr>
        <w:t xml:space="preserve"> ustawy z 23 kwietnia 1964 r.  Kodeks cywilny</w:t>
      </w:r>
      <w:r w:rsidR="006E2441">
        <w:rPr>
          <w:rFonts w:ascii="Tahoma" w:eastAsia="Calibri" w:hAnsi="Tahoma" w:cs="Tahoma"/>
          <w:sz w:val="20"/>
          <w:szCs w:val="20"/>
          <w:lang w:eastAsia="pl-PL"/>
        </w:rPr>
        <w:t xml:space="preserve"> (Dz. U. z 2016 </w:t>
      </w:r>
      <w:proofErr w:type="spellStart"/>
      <w:r w:rsidR="006E2441">
        <w:rPr>
          <w:rFonts w:ascii="Tahoma" w:eastAsia="Calibri" w:hAnsi="Tahoma" w:cs="Tahoma"/>
          <w:sz w:val="20"/>
          <w:szCs w:val="20"/>
          <w:lang w:eastAsia="pl-PL"/>
        </w:rPr>
        <w:t>r</w:t>
      </w:r>
      <w:proofErr w:type="spellEnd"/>
      <w:r w:rsidR="006E2441">
        <w:rPr>
          <w:rFonts w:ascii="Tahoma" w:eastAsia="Calibri" w:hAnsi="Tahoma" w:cs="Tahoma"/>
          <w:sz w:val="20"/>
          <w:szCs w:val="20"/>
          <w:lang w:eastAsia="pl-PL"/>
        </w:rPr>
        <w:t>, poz. 380</w:t>
      </w:r>
      <w:r w:rsidR="00BB0B86">
        <w:rPr>
          <w:rFonts w:ascii="Tahoma" w:eastAsia="Calibri" w:hAnsi="Tahoma" w:cs="Tahoma"/>
          <w:sz w:val="20"/>
          <w:szCs w:val="20"/>
          <w:lang w:eastAsia="pl-PL"/>
        </w:rPr>
        <w:t xml:space="preserve"> ze zm.</w:t>
      </w:r>
      <w:r w:rsidR="006E2441">
        <w:rPr>
          <w:rFonts w:ascii="Tahoma" w:eastAsia="Calibri" w:hAnsi="Tahoma" w:cs="Tahoma"/>
          <w:sz w:val="20"/>
          <w:szCs w:val="20"/>
          <w:lang w:eastAsia="pl-PL"/>
        </w:rPr>
        <w:t xml:space="preserve">) </w:t>
      </w:r>
      <w:r w:rsidR="00C36214">
        <w:rPr>
          <w:rFonts w:ascii="Tahoma" w:eastAsia="Calibri" w:hAnsi="Tahoma" w:cs="Tahoma"/>
          <w:sz w:val="20"/>
          <w:szCs w:val="20"/>
          <w:lang w:eastAsia="pl-PL"/>
        </w:rPr>
        <w:t>oraz</w:t>
      </w:r>
      <w:r w:rsidR="006E2441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="005F4F95">
        <w:rPr>
          <w:rFonts w:ascii="Tahoma" w:eastAsia="Calibri" w:hAnsi="Tahoma" w:cs="Tahoma"/>
          <w:sz w:val="20"/>
          <w:szCs w:val="20"/>
          <w:lang w:eastAsia="pl-PL"/>
        </w:rPr>
        <w:t xml:space="preserve">art. 19 ust. 1  ustawy z dnia 20 lutego 2015 r. o rzeczach znalezionych (Dz. U. </w:t>
      </w:r>
      <w:r w:rsidR="00D87D72">
        <w:rPr>
          <w:rFonts w:ascii="Tahoma" w:eastAsia="Calibri" w:hAnsi="Tahoma" w:cs="Tahoma"/>
          <w:sz w:val="20"/>
          <w:szCs w:val="20"/>
          <w:lang w:eastAsia="pl-PL"/>
        </w:rPr>
        <w:t xml:space="preserve"> z 2015 r., </w:t>
      </w:r>
      <w:r w:rsidR="005F4F95">
        <w:rPr>
          <w:rFonts w:ascii="Tahoma" w:eastAsia="Calibri" w:hAnsi="Tahoma" w:cs="Tahoma"/>
          <w:sz w:val="20"/>
          <w:szCs w:val="20"/>
          <w:lang w:eastAsia="pl-PL"/>
        </w:rPr>
        <w:t>poz. 397)</w:t>
      </w:r>
      <w:r w:rsidRPr="00005212">
        <w:rPr>
          <w:rFonts w:ascii="Tahoma" w:eastAsia="Calibri" w:hAnsi="Tahoma" w:cs="Tahoma"/>
          <w:sz w:val="20"/>
          <w:szCs w:val="20"/>
          <w:lang w:eastAsia="pl-PL"/>
        </w:rPr>
        <w:t>,</w:t>
      </w:r>
      <w:r w:rsidRPr="00005212">
        <w:rPr>
          <w:rFonts w:ascii="Tahoma" w:eastAsia="Calibri" w:hAnsi="Tahoma" w:cs="Tahoma"/>
          <w:b/>
          <w:bCs/>
          <w:sz w:val="20"/>
          <w:szCs w:val="20"/>
          <w:lang w:eastAsia="pl-PL"/>
        </w:rPr>
        <w:t xml:space="preserve"> </w:t>
      </w:r>
      <w:r w:rsidRPr="00005212">
        <w:rPr>
          <w:rFonts w:ascii="Tahoma" w:eastAsia="Calibri" w:hAnsi="Tahoma" w:cs="Tahoma"/>
          <w:sz w:val="20"/>
          <w:szCs w:val="20"/>
          <w:lang w:eastAsia="pl-PL"/>
        </w:rPr>
        <w:t>Zarząd Powiatu Iławskiego uchwala, co następuje:</w:t>
      </w:r>
    </w:p>
    <w:p w:rsidR="00005212" w:rsidRPr="00005212" w:rsidRDefault="00005212" w:rsidP="00005212">
      <w:pPr>
        <w:spacing w:after="0" w:line="240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pl-PL"/>
        </w:rPr>
      </w:pPr>
    </w:p>
    <w:p w:rsidR="00005212" w:rsidRPr="00005212" w:rsidRDefault="00005212" w:rsidP="00005212">
      <w:pPr>
        <w:spacing w:after="0" w:line="240" w:lineRule="auto"/>
        <w:jc w:val="both"/>
        <w:rPr>
          <w:rFonts w:ascii="Tahoma" w:eastAsia="Calibri" w:hAnsi="Tahoma" w:cs="Tahoma"/>
          <w:b/>
          <w:iCs/>
          <w:color w:val="000000"/>
          <w:sz w:val="24"/>
          <w:szCs w:val="24"/>
          <w:lang w:eastAsia="pl-PL"/>
        </w:rPr>
      </w:pPr>
      <w:r w:rsidRPr="00005212">
        <w:rPr>
          <w:rFonts w:ascii="Tahoma" w:eastAsia="Calibri" w:hAnsi="Tahoma" w:cs="Tahoma"/>
          <w:b/>
          <w:bCs/>
          <w:sz w:val="20"/>
          <w:szCs w:val="20"/>
          <w:lang w:eastAsia="pl-PL"/>
        </w:rPr>
        <w:t>§ 1.</w:t>
      </w:r>
      <w:r w:rsidRPr="00005212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="00770C1A">
        <w:rPr>
          <w:rFonts w:ascii="Arial" w:eastAsia="Calibri" w:hAnsi="Arial" w:cs="Arial"/>
          <w:sz w:val="20"/>
          <w:szCs w:val="20"/>
          <w:lang w:eastAsia="pl-PL"/>
        </w:rPr>
        <w:t xml:space="preserve">Ustala się </w:t>
      </w:r>
      <w:r w:rsidR="00353F1A">
        <w:rPr>
          <w:rFonts w:ascii="Arial" w:eastAsia="Calibri" w:hAnsi="Arial" w:cs="Arial"/>
          <w:sz w:val="20"/>
          <w:szCs w:val="20"/>
          <w:lang w:eastAsia="pl-PL"/>
        </w:rPr>
        <w:t xml:space="preserve">sposób prowadzenia ewidencji oraz </w:t>
      </w:r>
      <w:r w:rsidR="00770C1A">
        <w:rPr>
          <w:rFonts w:ascii="Arial" w:eastAsia="Calibri" w:hAnsi="Arial" w:cs="Arial"/>
          <w:sz w:val="20"/>
          <w:szCs w:val="20"/>
          <w:lang w:eastAsia="pl-PL"/>
        </w:rPr>
        <w:t>tryb likwidacji rzeczy znalezionych, które stały się własnością Powiatu Iławskiego</w:t>
      </w:r>
      <w:r w:rsidRPr="00005212">
        <w:rPr>
          <w:rFonts w:ascii="Tahoma" w:eastAsia="Calibri" w:hAnsi="Tahoma" w:cs="Tahoma"/>
          <w:iCs/>
          <w:sz w:val="20"/>
          <w:szCs w:val="20"/>
          <w:lang w:eastAsia="pl-PL"/>
        </w:rPr>
        <w:t xml:space="preserve">.  </w:t>
      </w:r>
    </w:p>
    <w:p w:rsidR="00005212" w:rsidRPr="00005212" w:rsidRDefault="00005212" w:rsidP="00005212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005212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 </w:t>
      </w:r>
    </w:p>
    <w:p w:rsidR="00005212" w:rsidRPr="00005212" w:rsidRDefault="00005212" w:rsidP="00005212">
      <w:pPr>
        <w:spacing w:after="0" w:line="240" w:lineRule="auto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005212">
        <w:rPr>
          <w:rFonts w:ascii="Tahoma" w:eastAsia="Calibri" w:hAnsi="Tahoma" w:cs="Tahoma"/>
          <w:b/>
          <w:bCs/>
          <w:color w:val="000000"/>
          <w:sz w:val="20"/>
          <w:szCs w:val="20"/>
          <w:lang w:eastAsia="pl-PL"/>
        </w:rPr>
        <w:t xml:space="preserve">§ 2. </w:t>
      </w:r>
      <w:r w:rsidR="00770C1A">
        <w:rPr>
          <w:rFonts w:ascii="Tahoma" w:eastAsia="Calibri" w:hAnsi="Tahoma" w:cs="Tahoma"/>
          <w:color w:val="000000"/>
          <w:sz w:val="20"/>
          <w:szCs w:val="20"/>
          <w:lang w:eastAsia="pl-PL"/>
        </w:rPr>
        <w:t>Wykonanie uchwały powierza się Staroście Powiatu Iławskiego.</w:t>
      </w:r>
    </w:p>
    <w:p w:rsidR="00005212" w:rsidRPr="00005212" w:rsidRDefault="00005212" w:rsidP="00005212">
      <w:pPr>
        <w:spacing w:after="0" w:line="240" w:lineRule="auto"/>
        <w:ind w:left="180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</w:p>
    <w:p w:rsidR="00005212" w:rsidRPr="00005212" w:rsidRDefault="00005212" w:rsidP="00005212">
      <w:pPr>
        <w:spacing w:after="0" w:line="240" w:lineRule="auto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005212">
        <w:rPr>
          <w:rFonts w:ascii="Tahoma" w:eastAsia="Calibri" w:hAnsi="Tahoma" w:cs="Tahoma"/>
          <w:b/>
          <w:bCs/>
          <w:color w:val="000000"/>
          <w:sz w:val="20"/>
          <w:szCs w:val="20"/>
          <w:lang w:eastAsia="pl-PL"/>
        </w:rPr>
        <w:t xml:space="preserve">§ 3. </w:t>
      </w:r>
      <w:r w:rsidRPr="00005212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Uchwała wchodzi w życie z dniem podjęcia. </w:t>
      </w:r>
    </w:p>
    <w:p w:rsidR="00005212" w:rsidRPr="00005212" w:rsidRDefault="00005212" w:rsidP="00005212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005212" w:rsidRPr="00005212" w:rsidRDefault="00005212" w:rsidP="00005212">
      <w:pPr>
        <w:spacing w:after="0" w:line="240" w:lineRule="auto"/>
        <w:rPr>
          <w:rFonts w:ascii="Arial" w:eastAsia="Calibri" w:hAnsi="Arial" w:cs="Arial"/>
          <w:color w:val="000000"/>
          <w:sz w:val="18"/>
          <w:szCs w:val="18"/>
          <w:lang w:eastAsia="pl-PL"/>
        </w:rPr>
      </w:pPr>
    </w:p>
    <w:p w:rsidR="00005212" w:rsidRPr="00005212" w:rsidRDefault="00005212" w:rsidP="00005212">
      <w:pPr>
        <w:spacing w:after="0" w:line="360" w:lineRule="auto"/>
        <w:ind w:left="4320"/>
        <w:rPr>
          <w:rFonts w:ascii="Tahoma" w:eastAsia="Calibri" w:hAnsi="Tahoma" w:cs="Tahoma"/>
          <w:sz w:val="18"/>
          <w:szCs w:val="18"/>
          <w:lang w:eastAsia="pl-PL"/>
        </w:rPr>
      </w:pPr>
      <w:r w:rsidRPr="00005212">
        <w:rPr>
          <w:rFonts w:ascii="Tahoma" w:eastAsia="Calibri" w:hAnsi="Tahoma" w:cs="Tahoma"/>
          <w:sz w:val="18"/>
          <w:szCs w:val="18"/>
          <w:lang w:eastAsia="pl-PL"/>
        </w:rPr>
        <w:t>Zarząd Powiatu:</w:t>
      </w:r>
    </w:p>
    <w:p w:rsidR="00005212" w:rsidRPr="00005212" w:rsidRDefault="00005212" w:rsidP="00005212">
      <w:pPr>
        <w:spacing w:after="0" w:line="360" w:lineRule="auto"/>
        <w:ind w:left="4320"/>
        <w:rPr>
          <w:rFonts w:ascii="Tahoma" w:eastAsia="Calibri" w:hAnsi="Tahoma" w:cs="Tahoma"/>
          <w:sz w:val="18"/>
          <w:szCs w:val="18"/>
          <w:lang w:eastAsia="pl-PL"/>
        </w:rPr>
      </w:pPr>
      <w:r w:rsidRPr="00005212">
        <w:rPr>
          <w:rFonts w:ascii="Tahoma" w:eastAsia="Calibri" w:hAnsi="Tahoma" w:cs="Tahoma"/>
          <w:sz w:val="18"/>
          <w:szCs w:val="18"/>
          <w:lang w:eastAsia="pl-PL"/>
        </w:rPr>
        <w:t>1. Marek Polański</w:t>
      </w:r>
      <w:r w:rsidRPr="00005212">
        <w:rPr>
          <w:rFonts w:ascii="Tahoma" w:eastAsia="Calibri" w:hAnsi="Tahoma" w:cs="Tahoma"/>
          <w:sz w:val="18"/>
          <w:szCs w:val="18"/>
          <w:lang w:eastAsia="pl-PL"/>
        </w:rPr>
        <w:tab/>
      </w:r>
    </w:p>
    <w:p w:rsidR="00005212" w:rsidRPr="00005212" w:rsidRDefault="00005212" w:rsidP="00005212">
      <w:pPr>
        <w:spacing w:after="0" w:line="360" w:lineRule="auto"/>
        <w:ind w:left="4320"/>
        <w:rPr>
          <w:rFonts w:ascii="Tahoma" w:eastAsia="Calibri" w:hAnsi="Tahoma" w:cs="Tahoma"/>
          <w:sz w:val="18"/>
          <w:szCs w:val="18"/>
          <w:lang w:eastAsia="pl-PL"/>
        </w:rPr>
      </w:pPr>
      <w:r w:rsidRPr="00005212">
        <w:rPr>
          <w:rFonts w:ascii="Tahoma" w:eastAsia="Calibri" w:hAnsi="Tahoma" w:cs="Tahoma"/>
          <w:sz w:val="18"/>
          <w:szCs w:val="18"/>
          <w:lang w:eastAsia="pl-PL"/>
        </w:rPr>
        <w:t xml:space="preserve">2. Stanisław Kastrau </w:t>
      </w:r>
      <w:r w:rsidRPr="00005212">
        <w:rPr>
          <w:rFonts w:ascii="Tahoma" w:eastAsia="Calibri" w:hAnsi="Tahoma" w:cs="Tahoma"/>
          <w:sz w:val="18"/>
          <w:szCs w:val="18"/>
          <w:lang w:eastAsia="pl-PL"/>
        </w:rPr>
        <w:tab/>
      </w:r>
    </w:p>
    <w:p w:rsidR="00005212" w:rsidRPr="00005212" w:rsidRDefault="00005212" w:rsidP="00005212">
      <w:pPr>
        <w:spacing w:after="0" w:line="360" w:lineRule="auto"/>
        <w:rPr>
          <w:rFonts w:ascii="Tahoma" w:eastAsia="Calibri" w:hAnsi="Tahoma" w:cs="Tahoma"/>
          <w:sz w:val="18"/>
          <w:szCs w:val="18"/>
          <w:lang w:eastAsia="pl-PL"/>
        </w:rPr>
      </w:pPr>
      <w:r w:rsidRPr="00005212">
        <w:rPr>
          <w:rFonts w:ascii="Tahoma" w:eastAsia="Calibri" w:hAnsi="Tahoma" w:cs="Tahoma"/>
          <w:sz w:val="18"/>
          <w:szCs w:val="18"/>
          <w:lang w:eastAsia="pl-PL"/>
        </w:rPr>
        <w:tab/>
      </w:r>
      <w:r w:rsidRPr="00005212">
        <w:rPr>
          <w:rFonts w:ascii="Tahoma" w:eastAsia="Calibri" w:hAnsi="Tahoma" w:cs="Tahoma"/>
          <w:sz w:val="18"/>
          <w:szCs w:val="18"/>
          <w:lang w:eastAsia="pl-PL"/>
        </w:rPr>
        <w:tab/>
      </w:r>
      <w:r w:rsidRPr="00005212">
        <w:rPr>
          <w:rFonts w:ascii="Tahoma" w:eastAsia="Calibri" w:hAnsi="Tahoma" w:cs="Tahoma"/>
          <w:sz w:val="18"/>
          <w:szCs w:val="18"/>
          <w:lang w:eastAsia="pl-PL"/>
        </w:rPr>
        <w:tab/>
      </w:r>
      <w:r w:rsidRPr="00005212">
        <w:rPr>
          <w:rFonts w:ascii="Tahoma" w:eastAsia="Calibri" w:hAnsi="Tahoma" w:cs="Tahoma"/>
          <w:sz w:val="18"/>
          <w:szCs w:val="18"/>
          <w:lang w:eastAsia="pl-PL"/>
        </w:rPr>
        <w:tab/>
      </w:r>
      <w:r w:rsidRPr="00005212">
        <w:rPr>
          <w:rFonts w:ascii="Tahoma" w:eastAsia="Calibri" w:hAnsi="Tahoma" w:cs="Tahoma"/>
          <w:sz w:val="18"/>
          <w:szCs w:val="18"/>
          <w:lang w:eastAsia="pl-PL"/>
        </w:rPr>
        <w:tab/>
      </w:r>
      <w:r w:rsidRPr="00005212">
        <w:rPr>
          <w:rFonts w:ascii="Tahoma" w:eastAsia="Calibri" w:hAnsi="Tahoma" w:cs="Tahoma"/>
          <w:sz w:val="18"/>
          <w:szCs w:val="18"/>
          <w:lang w:eastAsia="pl-PL"/>
        </w:rPr>
        <w:tab/>
        <w:t xml:space="preserve"> 3. Maciej Rygielski</w:t>
      </w:r>
      <w:r w:rsidRPr="00005212">
        <w:rPr>
          <w:rFonts w:ascii="Tahoma" w:eastAsia="Calibri" w:hAnsi="Tahoma" w:cs="Tahoma"/>
          <w:sz w:val="18"/>
          <w:szCs w:val="18"/>
          <w:lang w:eastAsia="pl-PL"/>
        </w:rPr>
        <w:tab/>
      </w:r>
    </w:p>
    <w:p w:rsidR="00005212" w:rsidRPr="00005212" w:rsidRDefault="00005212" w:rsidP="00005212">
      <w:pPr>
        <w:spacing w:after="0" w:line="360" w:lineRule="auto"/>
        <w:ind w:left="4320"/>
        <w:rPr>
          <w:rFonts w:ascii="Tahoma" w:eastAsia="Calibri" w:hAnsi="Tahoma" w:cs="Tahoma"/>
          <w:sz w:val="18"/>
          <w:szCs w:val="18"/>
          <w:lang w:eastAsia="pl-PL"/>
        </w:rPr>
      </w:pPr>
      <w:r w:rsidRPr="00005212">
        <w:rPr>
          <w:rFonts w:ascii="Tahoma" w:eastAsia="Calibri" w:hAnsi="Tahoma" w:cs="Tahoma"/>
          <w:sz w:val="18"/>
          <w:szCs w:val="18"/>
          <w:lang w:eastAsia="pl-PL"/>
        </w:rPr>
        <w:t xml:space="preserve">4. Edmund Standara </w:t>
      </w:r>
      <w:r w:rsidRPr="00005212">
        <w:rPr>
          <w:rFonts w:ascii="Tahoma" w:eastAsia="Calibri" w:hAnsi="Tahoma" w:cs="Tahoma"/>
          <w:sz w:val="18"/>
          <w:szCs w:val="18"/>
          <w:lang w:eastAsia="pl-PL"/>
        </w:rPr>
        <w:tab/>
      </w:r>
    </w:p>
    <w:p w:rsidR="00080FD8" w:rsidRDefault="00005212" w:rsidP="00835563">
      <w:pPr>
        <w:spacing w:after="0" w:line="360" w:lineRule="auto"/>
        <w:ind w:left="4320"/>
      </w:pPr>
      <w:r w:rsidRPr="00005212">
        <w:rPr>
          <w:rFonts w:ascii="Tahoma" w:eastAsia="Calibri" w:hAnsi="Tahoma" w:cs="Tahoma"/>
          <w:sz w:val="18"/>
          <w:szCs w:val="18"/>
          <w:lang w:eastAsia="pl-PL"/>
        </w:rPr>
        <w:t>5. Grażyna Taborek</w:t>
      </w:r>
      <w:r w:rsidRPr="00005212">
        <w:rPr>
          <w:rFonts w:ascii="Tahoma" w:eastAsia="Calibri" w:hAnsi="Tahoma" w:cs="Tahoma"/>
          <w:sz w:val="18"/>
          <w:szCs w:val="18"/>
          <w:lang w:eastAsia="pl-PL"/>
        </w:rPr>
        <w:tab/>
      </w:r>
    </w:p>
    <w:p w:rsidR="00FE28E3" w:rsidRDefault="00FE28E3">
      <w:r>
        <w:br w:type="page"/>
      </w:r>
    </w:p>
    <w:p w:rsidR="00177B21" w:rsidRDefault="00177B21"/>
    <w:p w:rsidR="00177B21" w:rsidRDefault="00F3073E" w:rsidP="00FE28E3">
      <w:pPr>
        <w:spacing w:after="0"/>
        <w:ind w:left="6096"/>
      </w:pPr>
      <w:r>
        <w:t>Załącznik do Uchwały</w:t>
      </w:r>
    </w:p>
    <w:p w:rsidR="00177B21" w:rsidRDefault="00F3073E" w:rsidP="00FE28E3">
      <w:pPr>
        <w:spacing w:after="0"/>
        <w:ind w:left="6096"/>
      </w:pPr>
      <w:r>
        <w:t>Zarządu Powiatu Iławskiego</w:t>
      </w:r>
    </w:p>
    <w:p w:rsidR="00FE28E3" w:rsidRDefault="00FE28E3" w:rsidP="00FE28E3">
      <w:pPr>
        <w:spacing w:after="0"/>
        <w:ind w:left="6096"/>
      </w:pPr>
      <w:r>
        <w:t>Nr</w:t>
      </w:r>
      <w:r w:rsidR="00D0142C">
        <w:t>145/617/17</w:t>
      </w:r>
    </w:p>
    <w:p w:rsidR="00FE28E3" w:rsidRDefault="00FE28E3" w:rsidP="00FE28E3">
      <w:pPr>
        <w:spacing w:after="0"/>
        <w:ind w:left="6096"/>
      </w:pPr>
      <w:r>
        <w:t xml:space="preserve">z </w:t>
      </w:r>
      <w:bookmarkStart w:id="0" w:name="_GoBack"/>
      <w:bookmarkEnd w:id="0"/>
      <w:r>
        <w:t xml:space="preserve">dnia </w:t>
      </w:r>
      <w:r w:rsidR="00D0142C">
        <w:t>8 lutego 2017</w:t>
      </w:r>
    </w:p>
    <w:p w:rsidR="00177B21" w:rsidRDefault="00177B21"/>
    <w:p w:rsidR="00177B21" w:rsidRDefault="00177B21"/>
    <w:p w:rsidR="00177B21" w:rsidRDefault="00353F1A">
      <w:r>
        <w:t xml:space="preserve">SPOSÓB PROWADZENIA EWIDENCJI ORAZ </w:t>
      </w:r>
      <w:r w:rsidR="00177B21">
        <w:t>TRYB LIKWIDACJI RZECZY ZNALEZIONYCH, KTÓRE STAŁY SIĘ WŁASNOŚCIĄ POWIATU IŁAWSKIEGO</w:t>
      </w:r>
    </w:p>
    <w:p w:rsidR="00FE28E3" w:rsidRDefault="004A2A9C">
      <w:r>
        <w:t>§ 1. Niniejsze zasady stos</w:t>
      </w:r>
      <w:r w:rsidR="00FE28E3">
        <w:t xml:space="preserve">uje się do będących własnością Powiatu Iławskiego </w:t>
      </w:r>
      <w:r>
        <w:t>ruchomych składników majątkowy</w:t>
      </w:r>
      <w:r w:rsidR="00DA6AC8">
        <w:t>ch, które przeszły na własność P</w:t>
      </w:r>
      <w:r>
        <w:t xml:space="preserve">owiatu w wyniku stosowania przepisów ustawy </w:t>
      </w:r>
      <w:r w:rsidR="00453AC2">
        <w:t>z dnia 20 lutego 2015 r. o rzeczach znalezionych.</w:t>
      </w:r>
    </w:p>
    <w:p w:rsidR="00353F1A" w:rsidRPr="00D56113" w:rsidRDefault="00353F1A">
      <w:r w:rsidRPr="00D56113">
        <w:t xml:space="preserve">§ 2. </w:t>
      </w:r>
      <w:r w:rsidR="00D56113" w:rsidRPr="00D56113">
        <w:t xml:space="preserve">1. </w:t>
      </w:r>
      <w:r w:rsidR="00D51ADF" w:rsidRPr="00D56113">
        <w:t>Rzecz znaleziona</w:t>
      </w:r>
      <w:r w:rsidR="004D6D84" w:rsidRPr="00D56113">
        <w:t xml:space="preserve"> (zwana dalej </w:t>
      </w:r>
      <w:r w:rsidR="00DA6AC8">
        <w:t>„</w:t>
      </w:r>
      <w:r w:rsidR="004D6D84" w:rsidRPr="00D56113">
        <w:t>rzeczą</w:t>
      </w:r>
      <w:r w:rsidR="00DA6AC8">
        <w:t>”</w:t>
      </w:r>
      <w:r w:rsidR="004D6D84" w:rsidRPr="00D56113">
        <w:t>)</w:t>
      </w:r>
      <w:r w:rsidR="00DA6AC8">
        <w:t xml:space="preserve"> staje się własnością P</w:t>
      </w:r>
      <w:r w:rsidR="00D51ADF" w:rsidRPr="00D56113">
        <w:t>owiatu po upływie terminu na odebranie jej przez znalazcę.</w:t>
      </w:r>
    </w:p>
    <w:p w:rsidR="00D51ADF" w:rsidRDefault="00D523A8">
      <w:r>
        <w:t xml:space="preserve">2. </w:t>
      </w:r>
      <w:r w:rsidR="00AA3216">
        <w:t>Do</w:t>
      </w:r>
      <w:r w:rsidR="00A63ABC" w:rsidRPr="00D56113">
        <w:t xml:space="preserve"> rzec</w:t>
      </w:r>
      <w:r w:rsidR="00A365EB">
        <w:t>zy, które stały się własnością P</w:t>
      </w:r>
      <w:r w:rsidR="00A63ABC" w:rsidRPr="00D56113">
        <w:t xml:space="preserve">owiatu prowadzi się ewidencję środków </w:t>
      </w:r>
      <w:r>
        <w:t>pozabilansowych</w:t>
      </w:r>
      <w:r w:rsidR="00A63ABC" w:rsidRPr="00D56113">
        <w:t xml:space="preserve"> a w przypadku gdy oszacowana wartość rzeczy przekracza 500 złotych</w:t>
      </w:r>
      <w:r>
        <w:t xml:space="preserve"> pozabilansową </w:t>
      </w:r>
      <w:r w:rsidR="00A63ABC" w:rsidRPr="00D56113">
        <w:t xml:space="preserve"> ewidencję wartościową.</w:t>
      </w:r>
    </w:p>
    <w:p w:rsidR="00D523A8" w:rsidRPr="00D56113" w:rsidRDefault="00D523A8">
      <w:r>
        <w:t xml:space="preserve">3. W celu ustalenia czy rzecz, </w:t>
      </w:r>
      <w:r w:rsidR="00A365EB">
        <w:t>która stała się własnością P</w:t>
      </w:r>
      <w:r w:rsidRPr="00AA3216">
        <w:t xml:space="preserve">owiatu </w:t>
      </w:r>
      <w:r w:rsidR="00AA3216" w:rsidRPr="00AA3216">
        <w:t>stanowi środek trwały stosuje się defin</w:t>
      </w:r>
      <w:r w:rsidR="00DA6AC8">
        <w:t xml:space="preserve">icję określoną w art. 3 </w:t>
      </w:r>
      <w:proofErr w:type="spellStart"/>
      <w:r w:rsidR="00DA6AC8">
        <w:t>pkt</w:t>
      </w:r>
      <w:proofErr w:type="spellEnd"/>
      <w:r w:rsidR="00DA6AC8">
        <w:t xml:space="preserve"> 15 u</w:t>
      </w:r>
      <w:r w:rsidR="00AA3216" w:rsidRPr="00AA3216">
        <w:t>stawy z dnia 29 września 1994 r. o rachunkowości.</w:t>
      </w:r>
    </w:p>
    <w:p w:rsidR="00965A7E" w:rsidRDefault="00965A7E">
      <w:r>
        <w:t>§ 3</w:t>
      </w:r>
      <w:r w:rsidR="00AE1FB6">
        <w:t>.  1.</w:t>
      </w:r>
      <w:r w:rsidR="001A796F">
        <w:t xml:space="preserve"> </w:t>
      </w:r>
      <w:r w:rsidR="004D6D84">
        <w:t>Starost</w:t>
      </w:r>
      <w:r w:rsidR="00AE1FB6">
        <w:t>a Powiatu Iławskiego powołuje komisję,</w:t>
      </w:r>
      <w:r w:rsidR="004D6D84">
        <w:t xml:space="preserve"> do której zadań należy</w:t>
      </w:r>
      <w:r w:rsidR="00AE1FB6">
        <w:t xml:space="preserve"> </w:t>
      </w:r>
      <w:r>
        <w:t>:</w:t>
      </w:r>
    </w:p>
    <w:p w:rsidR="0099316F" w:rsidRDefault="00AA3216" w:rsidP="0099316F">
      <w:pPr>
        <w:pStyle w:val="Akapitzlist"/>
        <w:numPr>
          <w:ilvl w:val="0"/>
          <w:numId w:val="3"/>
        </w:numPr>
      </w:pPr>
      <w:r>
        <w:t>u</w:t>
      </w:r>
      <w:r w:rsidR="00622091">
        <w:t xml:space="preserve">stalenie wartości rynkowej </w:t>
      </w:r>
      <w:r w:rsidR="00965A7E">
        <w:t>r</w:t>
      </w:r>
      <w:r w:rsidR="00711064">
        <w:t>zeczy</w:t>
      </w:r>
      <w:r w:rsidR="00965A7E">
        <w:t>, o których mowa w § 2</w:t>
      </w:r>
      <w:r w:rsidR="00DA6AC8">
        <w:t xml:space="preserve">, którą </w:t>
      </w:r>
      <w:r w:rsidR="00622091">
        <w:t>ustala się na</w:t>
      </w:r>
      <w:r w:rsidR="0048438D">
        <w:t xml:space="preserve"> podstawie</w:t>
      </w:r>
      <w:r w:rsidR="00622091">
        <w:t xml:space="preserve"> przeciętnych cen stosowanych w obrocie rzeczami tego samego rodzaju i gatunku, z uwzględnieniem ich stanu i stopnia zużycia, </w:t>
      </w:r>
      <w:r w:rsidR="0048438D">
        <w:t xml:space="preserve">albo opinii rzeczoznawcy (specjalistycznego zakładu naprawczego) </w:t>
      </w:r>
      <w:r w:rsidR="00622091">
        <w:t>a jeżeli tej wartości nie można ustalić, ustalona wartość nie może być</w:t>
      </w:r>
      <w:r w:rsidR="00816B05">
        <w:t xml:space="preserve"> niższa</w:t>
      </w:r>
      <w:r w:rsidR="00622091">
        <w:t xml:space="preserve"> od kosztu zorganizowania jej zbycia,</w:t>
      </w:r>
      <w:r w:rsidR="0048438D">
        <w:t xml:space="preserve"> </w:t>
      </w:r>
    </w:p>
    <w:p w:rsidR="004D6D84" w:rsidRDefault="00AA3216" w:rsidP="001E50FC">
      <w:pPr>
        <w:pStyle w:val="Akapitzlist"/>
        <w:numPr>
          <w:ilvl w:val="0"/>
          <w:numId w:val="3"/>
        </w:numPr>
      </w:pPr>
      <w:r>
        <w:t>d</w:t>
      </w:r>
      <w:r w:rsidR="00622091">
        <w:t xml:space="preserve">okonanie identyfikacji </w:t>
      </w:r>
      <w:r w:rsidR="00C660B1">
        <w:t>rzeczy</w:t>
      </w:r>
      <w:r w:rsidR="00622091">
        <w:t xml:space="preserve"> na podstawie oględzin, analizy dokumentów,</w:t>
      </w:r>
    </w:p>
    <w:p w:rsidR="004D6D84" w:rsidRDefault="00AA3216" w:rsidP="001E50FC">
      <w:pPr>
        <w:pStyle w:val="Akapitzlist"/>
        <w:numPr>
          <w:ilvl w:val="0"/>
          <w:numId w:val="3"/>
        </w:numPr>
      </w:pPr>
      <w:r>
        <w:t>p</w:t>
      </w:r>
      <w:r w:rsidR="004D6D84">
        <w:t>rzedstawienie propozycji dalszego zagospodarowania rzeczy</w:t>
      </w:r>
      <w:r w:rsidR="0048438D">
        <w:t>,</w:t>
      </w:r>
    </w:p>
    <w:p w:rsidR="00D52F3F" w:rsidRDefault="00DA6AC8" w:rsidP="001E50FC">
      <w:pPr>
        <w:pStyle w:val="Akapitzlist"/>
        <w:numPr>
          <w:ilvl w:val="0"/>
          <w:numId w:val="3"/>
        </w:numPr>
      </w:pPr>
      <w:r>
        <w:t>przeprowadzenie sprzedaży, użyczenia lub darowania rzeczy,</w:t>
      </w:r>
    </w:p>
    <w:p w:rsidR="00622091" w:rsidRDefault="00AA3216" w:rsidP="001E50FC">
      <w:pPr>
        <w:pStyle w:val="Akapitzlist"/>
        <w:numPr>
          <w:ilvl w:val="0"/>
          <w:numId w:val="3"/>
        </w:numPr>
      </w:pPr>
      <w:r>
        <w:t>p</w:t>
      </w:r>
      <w:r w:rsidR="00622091">
        <w:t>rzeprowadzenie likwidacji r</w:t>
      </w:r>
      <w:r w:rsidR="00C660B1">
        <w:t>zeczy</w:t>
      </w:r>
      <w:r w:rsidR="00622091">
        <w:t>, jeżeli nie zostaną one zagospodarowane w inny sposób.</w:t>
      </w:r>
    </w:p>
    <w:p w:rsidR="00622091" w:rsidRDefault="00D52F3F" w:rsidP="00622091">
      <w:r>
        <w:t xml:space="preserve">2. </w:t>
      </w:r>
      <w:r w:rsidR="00622091">
        <w:t xml:space="preserve"> W skład komisji powoływane są co najmniej trzy osoby spośród pracowników Starostwa Powiatowego w Iławie.</w:t>
      </w:r>
    </w:p>
    <w:p w:rsidR="00622091" w:rsidRDefault="00D52F3F" w:rsidP="00622091">
      <w:r>
        <w:t xml:space="preserve">3. </w:t>
      </w:r>
      <w:r w:rsidR="00622091">
        <w:t xml:space="preserve">Komisja sporządza protokół </w:t>
      </w:r>
      <w:r w:rsidR="00121C06">
        <w:t xml:space="preserve">z </w:t>
      </w:r>
      <w:r w:rsidR="003F6A3B">
        <w:t>przeprowadzonej oceny rzeczy</w:t>
      </w:r>
      <w:r w:rsidR="00121C06">
        <w:t xml:space="preserve">, w którym wykazuje się </w:t>
      </w:r>
      <w:r w:rsidR="00DA6AC8">
        <w:t>jej</w:t>
      </w:r>
      <w:r w:rsidR="00121C06">
        <w:t xml:space="preserve"> wartość, propozycję sposobu zagospodarowania.</w:t>
      </w:r>
      <w:r w:rsidR="00C660B1">
        <w:t xml:space="preserve"> </w:t>
      </w:r>
      <w:r w:rsidR="00582C2F">
        <w:t>.</w:t>
      </w:r>
    </w:p>
    <w:p w:rsidR="00582C2F" w:rsidRDefault="00582C2F" w:rsidP="00622091">
      <w:r>
        <w:t>4. Starosta akceptuje propozycję zagospodarowania rzeczy.</w:t>
      </w:r>
    </w:p>
    <w:p w:rsidR="00D56725" w:rsidRDefault="00D52F3F" w:rsidP="00622091">
      <w:r>
        <w:t>§ 4</w:t>
      </w:r>
      <w:r w:rsidR="00040D3A">
        <w:t xml:space="preserve">. </w:t>
      </w:r>
      <w:r w:rsidR="002D5B21">
        <w:t xml:space="preserve">1. </w:t>
      </w:r>
      <w:r w:rsidR="003F6A3B">
        <w:t>Rzecz</w:t>
      </w:r>
      <w:r w:rsidR="002D5B21">
        <w:t xml:space="preserve"> może być przedmiotem sprzedaży, </w:t>
      </w:r>
      <w:r w:rsidR="00DA6AC8">
        <w:t>użyczenia</w:t>
      </w:r>
      <w:r w:rsidR="002D5B21">
        <w:t xml:space="preserve"> oraz darowizny.</w:t>
      </w:r>
    </w:p>
    <w:p w:rsidR="00C660B1" w:rsidRDefault="002D5B21" w:rsidP="00622091">
      <w:r>
        <w:t xml:space="preserve">2. </w:t>
      </w:r>
      <w:r w:rsidR="00C660B1">
        <w:t>Zbywanie rzeczy o wartości jednostkowej przekraczającej 3500 zł brutto wymaga zgody Zarządu Powiatu.</w:t>
      </w:r>
    </w:p>
    <w:p w:rsidR="002D5B21" w:rsidRDefault="00C660B1" w:rsidP="00622091">
      <w:r>
        <w:t xml:space="preserve">3. </w:t>
      </w:r>
      <w:r w:rsidR="002D5B21">
        <w:t xml:space="preserve">Przy gospodarowaniu </w:t>
      </w:r>
      <w:r w:rsidR="003F6A3B">
        <w:t>rzeczą</w:t>
      </w:r>
      <w:r w:rsidR="002D5B21">
        <w:t xml:space="preserve"> uwzględnia się w pierwszej kolejności potrzeby </w:t>
      </w:r>
      <w:r w:rsidR="00A365EB">
        <w:t xml:space="preserve">Starostwa Powiatowego w Iławie, </w:t>
      </w:r>
      <w:r w:rsidR="002D5B21">
        <w:t>jednostek</w:t>
      </w:r>
      <w:r w:rsidR="00DA6AC8">
        <w:t xml:space="preserve"> organizacyjnych </w:t>
      </w:r>
      <w:r w:rsidR="002D5B21">
        <w:t>Powiatu oraz powiatowych osób prawnych.</w:t>
      </w:r>
    </w:p>
    <w:p w:rsidR="002D5B21" w:rsidRDefault="002D5B21" w:rsidP="00622091">
      <w:r>
        <w:lastRenderedPageBreak/>
        <w:t xml:space="preserve">4. </w:t>
      </w:r>
      <w:r w:rsidR="003F6A3B">
        <w:t>Rzeczy</w:t>
      </w:r>
      <w:r w:rsidR="00DA6AC8">
        <w:t xml:space="preserve"> nieprzydatne</w:t>
      </w:r>
      <w:r w:rsidR="00582C2F" w:rsidRPr="00582C2F">
        <w:t xml:space="preserve"> oraz takie co do których nie istnieje realna możliwość ich sprzedaży, użyczenia bądź darowizny </w:t>
      </w:r>
      <w:r>
        <w:t>mogą być zlikwidowane.</w:t>
      </w:r>
      <w:r w:rsidR="00582C2F" w:rsidRPr="00582C2F">
        <w:t xml:space="preserve"> </w:t>
      </w:r>
    </w:p>
    <w:p w:rsidR="002D5B21" w:rsidRDefault="002D5B21" w:rsidP="00622091">
      <w:r>
        <w:t>SPRZEDAŻ</w:t>
      </w:r>
    </w:p>
    <w:p w:rsidR="002D5B21" w:rsidRDefault="00582C2F" w:rsidP="00622091">
      <w:r>
        <w:t>§ 5</w:t>
      </w:r>
      <w:r w:rsidR="002D5B21">
        <w:t xml:space="preserve">. Czynności związane z przeprowadzeniem </w:t>
      </w:r>
      <w:r w:rsidR="006E1F48">
        <w:t xml:space="preserve">aukcji lub </w:t>
      </w:r>
      <w:r w:rsidR="002D5B21">
        <w:t xml:space="preserve">przetargu </w:t>
      </w:r>
      <w:r w:rsidR="004A146F">
        <w:t xml:space="preserve"> </w:t>
      </w:r>
      <w:r w:rsidR="00D52F3F">
        <w:t>wykonuje komisja, o której mowa w § 3 ust. 1.</w:t>
      </w:r>
    </w:p>
    <w:p w:rsidR="002C267B" w:rsidRDefault="00582C2F" w:rsidP="00622091">
      <w:r>
        <w:t>§ 6</w:t>
      </w:r>
      <w:r w:rsidR="002C267B">
        <w:t>. 1.  Cenę wywoławczą ustala się w wysokości nie niższej niż</w:t>
      </w:r>
      <w:r w:rsidR="00D52F3F">
        <w:t xml:space="preserve"> 75% wartości</w:t>
      </w:r>
      <w:r w:rsidR="002C267B">
        <w:t xml:space="preserve"> ustalon</w:t>
      </w:r>
      <w:r w:rsidR="00D52F3F">
        <w:t>ej</w:t>
      </w:r>
      <w:r w:rsidR="002C267B">
        <w:t xml:space="preserve"> p</w:t>
      </w:r>
      <w:r w:rsidR="00D56113">
        <w:t>rzez komisję o której mowa w § 3</w:t>
      </w:r>
      <w:r w:rsidR="002C267B">
        <w:t>.</w:t>
      </w:r>
    </w:p>
    <w:p w:rsidR="002C267B" w:rsidRDefault="002C267B" w:rsidP="00622091">
      <w:r>
        <w:t xml:space="preserve">2. Sprzedaż w trybie </w:t>
      </w:r>
      <w:r w:rsidR="006E1F48">
        <w:t xml:space="preserve">aukcji lub </w:t>
      </w:r>
      <w:r>
        <w:t>przetargu</w:t>
      </w:r>
      <w:r w:rsidR="004A146F">
        <w:t xml:space="preserve"> </w:t>
      </w:r>
      <w:r>
        <w:t>nie może nastąpić za cenę niższą od ceny wywoławczej.</w:t>
      </w:r>
    </w:p>
    <w:p w:rsidR="002C267B" w:rsidRDefault="00582C2F" w:rsidP="00622091">
      <w:r>
        <w:t>§ 7</w:t>
      </w:r>
      <w:r w:rsidR="002C267B">
        <w:t xml:space="preserve">. Przedmiotem </w:t>
      </w:r>
      <w:r w:rsidR="006E1F48">
        <w:t xml:space="preserve">aukcji lub </w:t>
      </w:r>
      <w:r w:rsidR="002C267B">
        <w:t>przetargu może być jedna lub więcej r</w:t>
      </w:r>
      <w:r w:rsidR="003F6A3B">
        <w:t>zeczy</w:t>
      </w:r>
      <w:r w:rsidR="002C267B">
        <w:t>.</w:t>
      </w:r>
    </w:p>
    <w:p w:rsidR="002C267B" w:rsidRDefault="00582C2F" w:rsidP="00622091">
      <w:r>
        <w:t>§ 8</w:t>
      </w:r>
      <w:r w:rsidR="002C267B">
        <w:t xml:space="preserve">. 1. </w:t>
      </w:r>
      <w:r w:rsidR="001154C2">
        <w:t xml:space="preserve">Ogłoszenie o </w:t>
      </w:r>
      <w:r w:rsidR="006E1F48">
        <w:t xml:space="preserve"> aukcji lub </w:t>
      </w:r>
      <w:r w:rsidR="001154C2">
        <w:t>przetarg</w:t>
      </w:r>
      <w:r w:rsidR="006E1F48">
        <w:t>u</w:t>
      </w:r>
      <w:r w:rsidR="001154C2">
        <w:t xml:space="preserve"> zamieszcza się na tablic</w:t>
      </w:r>
      <w:r w:rsidR="00AC4D31">
        <w:t>ach ogłoszeń oraz w biuletynie inf</w:t>
      </w:r>
      <w:r>
        <w:t>o</w:t>
      </w:r>
      <w:r w:rsidR="00AC4D31">
        <w:t>rmacji p</w:t>
      </w:r>
      <w:r w:rsidR="001154C2">
        <w:t>ublicznej.</w:t>
      </w:r>
      <w:r w:rsidR="0092074E">
        <w:t xml:space="preserve"> Ogłoszenie może również zostać zamieszczone w lokalnej prasie.</w:t>
      </w:r>
    </w:p>
    <w:p w:rsidR="001154C2" w:rsidRDefault="001154C2" w:rsidP="00622091">
      <w:r>
        <w:t xml:space="preserve">2. Między datą ogłoszenia o </w:t>
      </w:r>
      <w:r w:rsidR="006E1F48">
        <w:t xml:space="preserve">aukcji lub </w:t>
      </w:r>
      <w:r>
        <w:t>przetargu</w:t>
      </w:r>
      <w:r w:rsidR="004A146F">
        <w:t xml:space="preserve"> </w:t>
      </w:r>
      <w:r>
        <w:t xml:space="preserve">a terminem </w:t>
      </w:r>
      <w:r w:rsidR="006E1F48">
        <w:t xml:space="preserve">aukcji bądź </w:t>
      </w:r>
      <w:r>
        <w:t>składania ofert powinno upłynąć co najmniej 14 dni.</w:t>
      </w:r>
    </w:p>
    <w:p w:rsidR="001154C2" w:rsidRDefault="00582C2F" w:rsidP="00622091">
      <w:r>
        <w:t>§ 9</w:t>
      </w:r>
      <w:r w:rsidR="001154C2">
        <w:t>. Ogłoszenie o przetargu określa w szczególności:</w:t>
      </w:r>
    </w:p>
    <w:p w:rsidR="001154C2" w:rsidRDefault="002F23AD" w:rsidP="001154C2">
      <w:pPr>
        <w:pStyle w:val="Akapitzlist"/>
        <w:numPr>
          <w:ilvl w:val="0"/>
          <w:numId w:val="4"/>
        </w:numPr>
        <w:ind w:left="426"/>
      </w:pPr>
      <w:r>
        <w:t>nazwę i siedzibę jednostki;</w:t>
      </w:r>
    </w:p>
    <w:p w:rsidR="002F23AD" w:rsidRDefault="002F23AD" w:rsidP="001154C2">
      <w:pPr>
        <w:pStyle w:val="Akapitzlist"/>
        <w:numPr>
          <w:ilvl w:val="0"/>
          <w:numId w:val="4"/>
        </w:numPr>
        <w:ind w:left="426"/>
      </w:pPr>
      <w:r>
        <w:t>miejsce i termin przeprowadzenia przetargu;</w:t>
      </w:r>
    </w:p>
    <w:p w:rsidR="002F23AD" w:rsidRDefault="002F23AD" w:rsidP="001154C2">
      <w:pPr>
        <w:pStyle w:val="Akapitzlist"/>
        <w:numPr>
          <w:ilvl w:val="0"/>
          <w:numId w:val="4"/>
        </w:numPr>
        <w:ind w:left="426"/>
      </w:pPr>
      <w:r>
        <w:t>miejsce i termin, w którym można</w:t>
      </w:r>
      <w:r w:rsidR="005D4964">
        <w:t xml:space="preserve"> obejrzeć sprzedawane rzeczy</w:t>
      </w:r>
      <w:r>
        <w:t>;</w:t>
      </w:r>
    </w:p>
    <w:p w:rsidR="002F23AD" w:rsidRDefault="002F23AD" w:rsidP="001154C2">
      <w:pPr>
        <w:pStyle w:val="Akapitzlist"/>
        <w:numPr>
          <w:ilvl w:val="0"/>
          <w:numId w:val="4"/>
        </w:numPr>
        <w:ind w:left="426"/>
      </w:pPr>
      <w:r>
        <w:t xml:space="preserve">rodzaj, </w:t>
      </w:r>
      <w:r w:rsidR="005D4964">
        <w:t>typy i ilość sprzedawanych rzeczy</w:t>
      </w:r>
      <w:r>
        <w:t>;</w:t>
      </w:r>
    </w:p>
    <w:p w:rsidR="002F23AD" w:rsidRDefault="002F23AD" w:rsidP="001154C2">
      <w:pPr>
        <w:pStyle w:val="Akapitzlist"/>
        <w:numPr>
          <w:ilvl w:val="0"/>
          <w:numId w:val="4"/>
        </w:numPr>
        <w:ind w:left="426"/>
      </w:pPr>
      <w:r>
        <w:t>wysokość wadium oraz termin, miejsce i formę jego wniesienia</w:t>
      </w:r>
      <w:r w:rsidR="005D4964">
        <w:t xml:space="preserve"> (jeśli jest wymagane)</w:t>
      </w:r>
      <w:r>
        <w:t>;</w:t>
      </w:r>
    </w:p>
    <w:p w:rsidR="002F23AD" w:rsidRDefault="002F23AD" w:rsidP="001154C2">
      <w:pPr>
        <w:pStyle w:val="Akapitzlist"/>
        <w:numPr>
          <w:ilvl w:val="0"/>
          <w:numId w:val="4"/>
        </w:numPr>
        <w:ind w:left="426"/>
      </w:pPr>
      <w:r>
        <w:t>cenę wywoławczą;</w:t>
      </w:r>
    </w:p>
    <w:p w:rsidR="002F23AD" w:rsidRDefault="002F23AD" w:rsidP="001154C2">
      <w:pPr>
        <w:pStyle w:val="Akapitzlist"/>
        <w:numPr>
          <w:ilvl w:val="0"/>
          <w:numId w:val="4"/>
        </w:numPr>
        <w:ind w:left="426"/>
      </w:pPr>
      <w:r>
        <w:t>wymagania, jakim powinna odpowiadać oferta;</w:t>
      </w:r>
    </w:p>
    <w:p w:rsidR="002F23AD" w:rsidRDefault="002F23AD" w:rsidP="001154C2">
      <w:pPr>
        <w:pStyle w:val="Akapitzlist"/>
        <w:numPr>
          <w:ilvl w:val="0"/>
          <w:numId w:val="4"/>
        </w:numPr>
        <w:ind w:left="426"/>
      </w:pPr>
      <w:r>
        <w:t>termin, miejsce i tryb złożenia oferty oraz okres, w którym oferta jest wiążąca;</w:t>
      </w:r>
    </w:p>
    <w:p w:rsidR="002F23AD" w:rsidRDefault="0092074E" w:rsidP="001154C2">
      <w:pPr>
        <w:pStyle w:val="Akapitzlist"/>
        <w:numPr>
          <w:ilvl w:val="0"/>
          <w:numId w:val="4"/>
        </w:numPr>
        <w:ind w:left="426"/>
      </w:pPr>
      <w:r>
        <w:t>zastrzeżenie, że organizatorowi przetargu przysługuje prawo zamknięcia przetargu bez wybrania którejkolwiek z ofert, bez podawania przyczyn;</w:t>
      </w:r>
    </w:p>
    <w:p w:rsidR="0092074E" w:rsidRPr="0092074E" w:rsidRDefault="0092074E" w:rsidP="001154C2">
      <w:pPr>
        <w:pStyle w:val="Akapitzlist"/>
        <w:numPr>
          <w:ilvl w:val="0"/>
          <w:numId w:val="4"/>
        </w:numPr>
        <w:ind w:left="426"/>
      </w:pPr>
      <w:r>
        <w:t xml:space="preserve">informację o treści wynikającej z </w:t>
      </w:r>
      <w:r w:rsidRPr="00D52F3F">
        <w:rPr>
          <w:rFonts w:cstheme="minorHAnsi"/>
        </w:rPr>
        <w:t xml:space="preserve">zapisów </w:t>
      </w:r>
      <w:r w:rsidR="00D56113" w:rsidRPr="00D52F3F">
        <w:rPr>
          <w:rFonts w:cstheme="minorHAnsi"/>
        </w:rPr>
        <w:t xml:space="preserve">§ </w:t>
      </w:r>
      <w:r w:rsidR="00582C2F">
        <w:rPr>
          <w:rFonts w:cstheme="minorHAnsi"/>
        </w:rPr>
        <w:t>13</w:t>
      </w:r>
      <w:r w:rsidR="00D52F3F" w:rsidRPr="00D52F3F">
        <w:rPr>
          <w:rFonts w:cstheme="minorHAnsi"/>
        </w:rPr>
        <w:t>.</w:t>
      </w:r>
    </w:p>
    <w:p w:rsidR="0092074E" w:rsidRDefault="00582C2F" w:rsidP="0092074E">
      <w:pPr>
        <w:ind w:left="66"/>
      </w:pPr>
      <w:r>
        <w:t>§ 10</w:t>
      </w:r>
      <w:r w:rsidR="0092074E">
        <w:t>. Oferta pisemna złożona w toku przetargu powinna zawierać:</w:t>
      </w:r>
    </w:p>
    <w:p w:rsidR="0092074E" w:rsidRDefault="0092074E" w:rsidP="0092074E">
      <w:pPr>
        <w:pStyle w:val="Akapitzlist"/>
        <w:numPr>
          <w:ilvl w:val="0"/>
          <w:numId w:val="5"/>
        </w:numPr>
        <w:ind w:left="426"/>
      </w:pPr>
      <w:r>
        <w:t>imię, nazwisko i adres lub nazwę firmy i siedzibę oferenta</w:t>
      </w:r>
      <w:r w:rsidR="00611C1E">
        <w:t>;</w:t>
      </w:r>
    </w:p>
    <w:p w:rsidR="00611C1E" w:rsidRDefault="00611C1E" w:rsidP="0092074E">
      <w:pPr>
        <w:pStyle w:val="Akapitzlist"/>
        <w:numPr>
          <w:ilvl w:val="0"/>
          <w:numId w:val="5"/>
        </w:numPr>
        <w:ind w:left="426"/>
      </w:pPr>
      <w:r>
        <w:t>oferowaną cenę i warunki jej zapłaty;</w:t>
      </w:r>
    </w:p>
    <w:p w:rsidR="00611C1E" w:rsidRDefault="00611C1E" w:rsidP="0092074E">
      <w:pPr>
        <w:pStyle w:val="Akapitzlist"/>
        <w:numPr>
          <w:ilvl w:val="0"/>
          <w:numId w:val="5"/>
        </w:numPr>
        <w:ind w:left="426"/>
      </w:pPr>
      <w:r>
        <w:t>oświadczenie oferenta, że zapoznał się ze stanem przedmiotu przetargu;</w:t>
      </w:r>
    </w:p>
    <w:p w:rsidR="00611C1E" w:rsidRDefault="00611C1E" w:rsidP="0092074E">
      <w:pPr>
        <w:pStyle w:val="Akapitzlist"/>
        <w:numPr>
          <w:ilvl w:val="0"/>
          <w:numId w:val="5"/>
        </w:numPr>
        <w:ind w:left="426"/>
      </w:pPr>
      <w:r>
        <w:t>poświadczenie wniesienia wadium</w:t>
      </w:r>
      <w:r w:rsidR="005D4964">
        <w:t xml:space="preserve"> (jeżeli jest wymagane)</w:t>
      </w:r>
      <w:r>
        <w:t>;</w:t>
      </w:r>
    </w:p>
    <w:p w:rsidR="00611C1E" w:rsidRDefault="00611C1E" w:rsidP="0092074E">
      <w:pPr>
        <w:pStyle w:val="Akapitzlist"/>
        <w:numPr>
          <w:ilvl w:val="0"/>
          <w:numId w:val="5"/>
        </w:numPr>
        <w:ind w:left="426"/>
      </w:pPr>
      <w:r>
        <w:t>inne dane wymagane przez organizatora przetargu, określone w ogłoszeniu o przetargu;</w:t>
      </w:r>
    </w:p>
    <w:p w:rsidR="00611C1E" w:rsidRDefault="00611C1E" w:rsidP="0092074E">
      <w:pPr>
        <w:pStyle w:val="Akapitzlist"/>
        <w:numPr>
          <w:ilvl w:val="0"/>
          <w:numId w:val="5"/>
        </w:numPr>
        <w:ind w:left="426"/>
      </w:pPr>
      <w:r>
        <w:t>ofertę wraz z wymaganymi dokumentami składa się w zaklejonej kopercie w miejscu i terminie określonym w ogłoszeniu przetargu.</w:t>
      </w:r>
    </w:p>
    <w:p w:rsidR="00611C1E" w:rsidRDefault="00D56113" w:rsidP="00611C1E">
      <w:pPr>
        <w:ind w:left="66"/>
      </w:pPr>
      <w:r>
        <w:t>§ 1</w:t>
      </w:r>
      <w:r w:rsidR="00582C2F">
        <w:t>1</w:t>
      </w:r>
      <w:r w:rsidR="00611C1E">
        <w:t>. Złożenie jednej ważnej oferty wystarcza do przeprowadzenia przetargu.</w:t>
      </w:r>
    </w:p>
    <w:p w:rsidR="00611C1E" w:rsidRDefault="00582C2F" w:rsidP="00611C1E">
      <w:pPr>
        <w:ind w:left="66"/>
      </w:pPr>
      <w:r>
        <w:t>§ 12</w:t>
      </w:r>
      <w:r w:rsidR="00611C1E">
        <w:t>. Rozpoczynając przetarg komisja:</w:t>
      </w:r>
    </w:p>
    <w:p w:rsidR="00611C1E" w:rsidRDefault="00611C1E" w:rsidP="00611C1E">
      <w:pPr>
        <w:pStyle w:val="Akapitzlist"/>
        <w:numPr>
          <w:ilvl w:val="0"/>
          <w:numId w:val="6"/>
        </w:numPr>
        <w:ind w:left="426"/>
      </w:pPr>
      <w:r>
        <w:t xml:space="preserve">stwierdza prawidłowość </w:t>
      </w:r>
      <w:r w:rsidR="00816B05">
        <w:t>ogłoszenia</w:t>
      </w:r>
      <w:r>
        <w:t xml:space="preserve"> przetargu;</w:t>
      </w:r>
    </w:p>
    <w:p w:rsidR="00611C1E" w:rsidRDefault="00611C1E" w:rsidP="00611C1E">
      <w:pPr>
        <w:pStyle w:val="Akapitzlist"/>
        <w:numPr>
          <w:ilvl w:val="0"/>
          <w:numId w:val="6"/>
        </w:numPr>
        <w:ind w:left="426"/>
      </w:pPr>
      <w:r>
        <w:t>ustala liczbę zgłoszonych ofert oraz sprawdza wniesienie wymaganego wadium we wskazanym terminie, miejscu i formie</w:t>
      </w:r>
      <w:r w:rsidR="005D4964">
        <w:t xml:space="preserve"> (jeżeli jest wymagane)</w:t>
      </w:r>
      <w:r>
        <w:t>;</w:t>
      </w:r>
    </w:p>
    <w:p w:rsidR="00611C1E" w:rsidRDefault="00611C1E" w:rsidP="00611C1E">
      <w:pPr>
        <w:pStyle w:val="Akapitzlist"/>
        <w:numPr>
          <w:ilvl w:val="0"/>
          <w:numId w:val="6"/>
        </w:numPr>
        <w:ind w:left="426"/>
      </w:pPr>
      <w:r>
        <w:t>otwiera koperty z ofertami złożone w terminie i miejscu wskazanym w ogłoszeniu przetargu.</w:t>
      </w:r>
    </w:p>
    <w:p w:rsidR="0059575A" w:rsidRPr="0059575A" w:rsidRDefault="00582C2F" w:rsidP="0059575A">
      <w:pPr>
        <w:ind w:left="66"/>
      </w:pPr>
      <w:r>
        <w:t>§ 13</w:t>
      </w:r>
      <w:r w:rsidR="0059575A" w:rsidRPr="0059575A">
        <w:t>. 1. Komisja odrzuca ofertę, jeżeli:</w:t>
      </w:r>
    </w:p>
    <w:p w:rsidR="0059575A" w:rsidRDefault="0059575A" w:rsidP="0059575A">
      <w:pPr>
        <w:pStyle w:val="Akapitzlist"/>
        <w:numPr>
          <w:ilvl w:val="0"/>
          <w:numId w:val="7"/>
        </w:numPr>
      </w:pPr>
      <w:r w:rsidRPr="0059575A">
        <w:lastRenderedPageBreak/>
        <w:t>została złożona po wyznaczonym terminie, w niewłaści</w:t>
      </w:r>
      <w:r>
        <w:t>wy</w:t>
      </w:r>
      <w:r w:rsidRPr="0059575A">
        <w:t>m miejscu lub przez osobę, która nie wniosła wadium – jeśli by</w:t>
      </w:r>
      <w:r w:rsidRPr="0059575A">
        <w:rPr>
          <w:rFonts w:cs="Calibri"/>
        </w:rPr>
        <w:t>ł</w:t>
      </w:r>
      <w:r w:rsidRPr="0059575A">
        <w:t>o wymagane</w:t>
      </w:r>
      <w:r>
        <w:t>;</w:t>
      </w:r>
    </w:p>
    <w:p w:rsidR="0059575A" w:rsidRDefault="0059575A" w:rsidP="0059575A">
      <w:pPr>
        <w:pStyle w:val="Akapitzlist"/>
        <w:numPr>
          <w:ilvl w:val="0"/>
          <w:numId w:val="7"/>
        </w:numPr>
      </w:pPr>
      <w:r>
        <w:t>nie zawi</w:t>
      </w:r>
      <w:r w:rsidR="00816B05">
        <w:t>e</w:t>
      </w:r>
      <w:r w:rsidR="00582C2F">
        <w:t>ra danych, o których mowa w § 10</w:t>
      </w:r>
      <w:r>
        <w:t>, lub dane te są niekompletne, nieczytelne lub budzą inną wątpliwość, zaś złożenie wyjaśnień mogłoby prowadzić do uznania jej za nową ofertę;</w:t>
      </w:r>
    </w:p>
    <w:p w:rsidR="0059575A" w:rsidRDefault="00DA6AC8" w:rsidP="0059575A">
      <w:pPr>
        <w:pStyle w:val="Akapitzlist"/>
        <w:numPr>
          <w:ilvl w:val="0"/>
          <w:numId w:val="7"/>
        </w:numPr>
      </w:pPr>
      <w:r>
        <w:t>uczestnik przetargu</w:t>
      </w:r>
      <w:r w:rsidR="0059575A">
        <w:t xml:space="preserve"> zaofer</w:t>
      </w:r>
      <w:r>
        <w:t>ował cenę niższą niż</w:t>
      </w:r>
      <w:r w:rsidR="0059575A">
        <w:t xml:space="preserve"> wywoławcz</w:t>
      </w:r>
      <w:r>
        <w:t>ą</w:t>
      </w:r>
      <w:r w:rsidR="0059575A">
        <w:t>.</w:t>
      </w:r>
    </w:p>
    <w:p w:rsidR="0059575A" w:rsidRDefault="0059575A" w:rsidP="0059575A">
      <w:pPr>
        <w:ind w:left="66"/>
      </w:pPr>
      <w:r>
        <w:t>2. O odrzuceniu oferty komisja zawiadamia niezwłocznie oferenta.</w:t>
      </w:r>
    </w:p>
    <w:p w:rsidR="0059575A" w:rsidRDefault="00582C2F" w:rsidP="0059575A">
      <w:pPr>
        <w:ind w:left="66"/>
      </w:pPr>
      <w:r>
        <w:t>§ 14</w:t>
      </w:r>
      <w:r w:rsidR="0059575A">
        <w:t>. 1. Komisja przetargowa wybiera oferenta, który zaoferował najwyższą cenę.</w:t>
      </w:r>
    </w:p>
    <w:p w:rsidR="0059575A" w:rsidRPr="00DA6AC8" w:rsidRDefault="0059575A" w:rsidP="0059575A">
      <w:pPr>
        <w:ind w:left="66"/>
        <w:rPr>
          <w:rFonts w:cstheme="minorHAnsi"/>
        </w:rPr>
      </w:pPr>
      <w:r>
        <w:t>2. W razie ustalenia, że kilku oferentów zaoferowało tę samą najwyższą cenę, komisja przetargowa postanawia o kontynuowaniu przetargu w formie</w:t>
      </w:r>
      <w:r w:rsidR="00DA6AC8">
        <w:t xml:space="preserve"> aukcji między tymi oferentami. § </w:t>
      </w:r>
      <w:r w:rsidR="00582C2F">
        <w:rPr>
          <w:rFonts w:cstheme="minorHAnsi"/>
        </w:rPr>
        <w:t>23</w:t>
      </w:r>
      <w:r w:rsidR="00DA6AC8" w:rsidRPr="00DA6AC8">
        <w:rPr>
          <w:rFonts w:cstheme="minorHAnsi"/>
        </w:rPr>
        <w:t xml:space="preserve"> i 2</w:t>
      </w:r>
      <w:r w:rsidR="00582C2F">
        <w:rPr>
          <w:rFonts w:cstheme="minorHAnsi"/>
        </w:rPr>
        <w:t>4</w:t>
      </w:r>
      <w:r w:rsidR="00DA6AC8" w:rsidRPr="00DA6AC8">
        <w:rPr>
          <w:rFonts w:cstheme="minorHAnsi"/>
        </w:rPr>
        <w:t xml:space="preserve"> stosuje się odpowiednio</w:t>
      </w:r>
    </w:p>
    <w:p w:rsidR="0059575A" w:rsidRDefault="00582C2F" w:rsidP="0059575A">
      <w:pPr>
        <w:ind w:left="66"/>
      </w:pPr>
      <w:r>
        <w:t>§ 15</w:t>
      </w:r>
      <w:r w:rsidR="00FB461E">
        <w:t>. Umowę sprzedaży w trybie przetargu uważa się za zawartą z chwilą otrzymania przez oferenta zawiadomienia o przyjęciu jego oferty.</w:t>
      </w:r>
    </w:p>
    <w:p w:rsidR="00FB461E" w:rsidRDefault="00582C2F" w:rsidP="0059575A">
      <w:pPr>
        <w:ind w:left="66"/>
      </w:pPr>
      <w:r>
        <w:t>§ 16</w:t>
      </w:r>
      <w:r w:rsidR="00FB461E">
        <w:t xml:space="preserve">. Nabywca jest zobowiązany zapłacić cenę nabycia w kasie lub na rachunek </w:t>
      </w:r>
      <w:r w:rsidR="00711064">
        <w:t>dochodów budżetu</w:t>
      </w:r>
      <w:r w:rsidR="00FB461E">
        <w:t xml:space="preserve"> powiatu w terminie wyznaczonym przez prowadzącego przetarg, nie dłuższym niż 7 dni.</w:t>
      </w:r>
    </w:p>
    <w:p w:rsidR="00FB461E" w:rsidRDefault="00582C2F" w:rsidP="0059575A">
      <w:pPr>
        <w:ind w:left="66"/>
      </w:pPr>
      <w:r>
        <w:t>§ 17</w:t>
      </w:r>
      <w:r w:rsidR="00816B05">
        <w:t>.1. Z</w:t>
      </w:r>
      <w:r w:rsidR="00FB461E" w:rsidRPr="00FB461E">
        <w:t xml:space="preserve"> przebie</w:t>
      </w:r>
      <w:r w:rsidR="00FB461E">
        <w:t>gu przetargu sporządza się protokół, który powinien zawierać w szczególności:</w:t>
      </w:r>
    </w:p>
    <w:p w:rsidR="00FB461E" w:rsidRDefault="00FB461E" w:rsidP="00FB461E">
      <w:pPr>
        <w:pStyle w:val="Akapitzlist"/>
        <w:numPr>
          <w:ilvl w:val="0"/>
          <w:numId w:val="8"/>
        </w:numPr>
      </w:pPr>
      <w:r>
        <w:t>określenie miejsca i czasu przetargu;</w:t>
      </w:r>
    </w:p>
    <w:p w:rsidR="00FB461E" w:rsidRDefault="00FB461E" w:rsidP="00FB461E">
      <w:pPr>
        <w:pStyle w:val="Akapitzlist"/>
        <w:numPr>
          <w:ilvl w:val="0"/>
          <w:numId w:val="8"/>
        </w:numPr>
      </w:pPr>
      <w:r>
        <w:t>imiona, nazwiska i podpisy członków komisji przetargowej;</w:t>
      </w:r>
    </w:p>
    <w:p w:rsidR="00FB461E" w:rsidRDefault="00BD585A" w:rsidP="00FB461E">
      <w:pPr>
        <w:pStyle w:val="Akapitzlist"/>
        <w:numPr>
          <w:ilvl w:val="0"/>
          <w:numId w:val="8"/>
        </w:numPr>
      </w:pPr>
      <w:r>
        <w:t>wysokość ceny wywoławczej;</w:t>
      </w:r>
    </w:p>
    <w:p w:rsidR="00BD585A" w:rsidRDefault="00BD585A" w:rsidP="00FB461E">
      <w:pPr>
        <w:pStyle w:val="Akapitzlist"/>
        <w:numPr>
          <w:ilvl w:val="0"/>
          <w:numId w:val="8"/>
        </w:numPr>
      </w:pPr>
      <w:r>
        <w:t>zestawienie ofert, które wpłynęły w odpowiedzi na ogłoszenie;</w:t>
      </w:r>
    </w:p>
    <w:p w:rsidR="00BD585A" w:rsidRDefault="00BD585A" w:rsidP="00FB461E">
      <w:pPr>
        <w:pStyle w:val="Akapitzlist"/>
        <w:numPr>
          <w:ilvl w:val="0"/>
          <w:numId w:val="8"/>
        </w:numPr>
      </w:pPr>
      <w:r>
        <w:t>najwyższą ceną zaoferowaną za przedmiot sprzedaży;</w:t>
      </w:r>
    </w:p>
    <w:p w:rsidR="00BD585A" w:rsidRDefault="00BD585A" w:rsidP="00FB461E">
      <w:pPr>
        <w:pStyle w:val="Akapitzlist"/>
        <w:numPr>
          <w:ilvl w:val="0"/>
          <w:numId w:val="8"/>
        </w:numPr>
      </w:pPr>
      <w:r>
        <w:t>imię, nazwisko lub nazwę firmy nabywcy oraz miejsce jego zamieszkania bądź siedziby;</w:t>
      </w:r>
    </w:p>
    <w:p w:rsidR="00BD585A" w:rsidRDefault="00BD585A" w:rsidP="00FB461E">
      <w:pPr>
        <w:pStyle w:val="Akapitzlist"/>
        <w:numPr>
          <w:ilvl w:val="0"/>
          <w:numId w:val="8"/>
        </w:numPr>
      </w:pPr>
      <w:r>
        <w:t>wysokość ceny nabycia;</w:t>
      </w:r>
    </w:p>
    <w:p w:rsidR="00BD585A" w:rsidRDefault="00BD585A" w:rsidP="00FB461E">
      <w:pPr>
        <w:pStyle w:val="Akapitzlist"/>
        <w:numPr>
          <w:ilvl w:val="0"/>
          <w:numId w:val="8"/>
        </w:numPr>
      </w:pPr>
      <w:r>
        <w:t>wnioski i oświadczenia członków komisji.</w:t>
      </w:r>
    </w:p>
    <w:p w:rsidR="00BD585A" w:rsidRDefault="00BD585A" w:rsidP="00BD585A">
      <w:pPr>
        <w:ind w:left="66"/>
      </w:pPr>
      <w:r>
        <w:t>2. Jeżeli nabywca nie uiści ceny nabycia w terminie wskazanym, należy niezwłocznie uczynić o tym wzmiankę w protokole przetargu. Wzmiankę w protokole należy</w:t>
      </w:r>
      <w:r w:rsidR="00C660B1">
        <w:t xml:space="preserve"> również uczynić po wpłaceniu </w:t>
      </w:r>
      <w:r>
        <w:t>ceny nabycia we wskazanym terminie.</w:t>
      </w:r>
    </w:p>
    <w:p w:rsidR="00711064" w:rsidRDefault="00582C2F" w:rsidP="00BD585A">
      <w:pPr>
        <w:ind w:left="66"/>
      </w:pPr>
      <w:r>
        <w:t>§ 18</w:t>
      </w:r>
      <w:r w:rsidR="00BD585A" w:rsidRPr="00BD585A">
        <w:t xml:space="preserve">. </w:t>
      </w:r>
      <w:r>
        <w:t>Do aukcji zapisy § 9</w:t>
      </w:r>
      <w:r w:rsidR="00711064">
        <w:t xml:space="preserve"> </w:t>
      </w:r>
      <w:r w:rsidR="00AB18F0">
        <w:t xml:space="preserve">z wyłączeniem </w:t>
      </w:r>
      <w:proofErr w:type="spellStart"/>
      <w:r w:rsidR="00AB18F0">
        <w:t>pkt</w:t>
      </w:r>
      <w:proofErr w:type="spellEnd"/>
      <w:r w:rsidR="00AB18F0">
        <w:t xml:space="preserve"> 7-8 oraz 10</w:t>
      </w:r>
      <w:r w:rsidR="00711064">
        <w:t>.</w:t>
      </w:r>
    </w:p>
    <w:p w:rsidR="00711064" w:rsidRDefault="00582C2F" w:rsidP="00711064">
      <w:pPr>
        <w:ind w:left="66"/>
      </w:pPr>
      <w:r>
        <w:t>§ 19</w:t>
      </w:r>
      <w:r w:rsidR="00B53010">
        <w:t xml:space="preserve">. </w:t>
      </w:r>
      <w:r w:rsidR="00711064">
        <w:t xml:space="preserve">1. </w:t>
      </w:r>
      <w:r w:rsidR="00711064" w:rsidRPr="00BD585A">
        <w:t>Aukcję prowadzi przewodniczący komisji przetargowej albo inny członek komisji wyznaczony przez Starostę, zwany dalej „prowadzącym aukcję”.</w:t>
      </w:r>
    </w:p>
    <w:p w:rsidR="00BD585A" w:rsidRDefault="00711064" w:rsidP="00BD585A">
      <w:pPr>
        <w:ind w:left="66"/>
      </w:pPr>
      <w:r>
        <w:t xml:space="preserve">2. </w:t>
      </w:r>
      <w:r w:rsidR="00B53010">
        <w:t>Po otwarciu aukcji prowadzący aukcję podaje do publicznej wiadomości:</w:t>
      </w:r>
    </w:p>
    <w:p w:rsidR="00B53010" w:rsidRDefault="00B53010" w:rsidP="00B53010">
      <w:pPr>
        <w:pStyle w:val="Akapitzlist"/>
        <w:numPr>
          <w:ilvl w:val="0"/>
          <w:numId w:val="9"/>
        </w:numPr>
      </w:pPr>
      <w:r>
        <w:t>przedmiot aukcji;</w:t>
      </w:r>
    </w:p>
    <w:p w:rsidR="00B53010" w:rsidRDefault="00B53010" w:rsidP="00B53010">
      <w:pPr>
        <w:pStyle w:val="Akapitzlist"/>
        <w:numPr>
          <w:ilvl w:val="0"/>
          <w:numId w:val="9"/>
        </w:numPr>
      </w:pPr>
      <w:r>
        <w:t>cenę wywoławczą;</w:t>
      </w:r>
    </w:p>
    <w:p w:rsidR="00B53010" w:rsidRDefault="00B53010" w:rsidP="00B53010">
      <w:pPr>
        <w:pStyle w:val="Akapitzlist"/>
        <w:numPr>
          <w:ilvl w:val="0"/>
          <w:numId w:val="9"/>
        </w:numPr>
      </w:pPr>
      <w:r>
        <w:t>termin uiszczenia ceny nabycia;</w:t>
      </w:r>
    </w:p>
    <w:p w:rsidR="00B53010" w:rsidRDefault="00A733AF" w:rsidP="00B53010">
      <w:pPr>
        <w:pStyle w:val="Akapitzlist"/>
        <w:numPr>
          <w:ilvl w:val="0"/>
          <w:numId w:val="9"/>
        </w:numPr>
      </w:pPr>
      <w:r>
        <w:t>zmiany w stanie faktycznym i prawnym przedmiotu aukcji, które zaszły po ogłoszeniu o aukcji.</w:t>
      </w:r>
    </w:p>
    <w:p w:rsidR="00A733AF" w:rsidRDefault="00582C2F" w:rsidP="00A733AF">
      <w:pPr>
        <w:ind w:left="66"/>
      </w:pPr>
      <w:r>
        <w:t>§ 20</w:t>
      </w:r>
      <w:r w:rsidR="00A733AF">
        <w:t>. Stawienie się jednego licytanta wystarcza do przeprowadzenia aukcji.</w:t>
      </w:r>
    </w:p>
    <w:p w:rsidR="0075772F" w:rsidRDefault="00D52F3F" w:rsidP="00A733AF">
      <w:pPr>
        <w:ind w:left="66"/>
      </w:pPr>
      <w:r>
        <w:t>§ 2</w:t>
      </w:r>
      <w:r w:rsidR="00582C2F">
        <w:t>1</w:t>
      </w:r>
      <w:r w:rsidR="007C601D" w:rsidRPr="007C601D">
        <w:t>. Aukcja rozpoczyna si</w:t>
      </w:r>
      <w:r w:rsidR="005D4964">
        <w:t xml:space="preserve">ę od podania ceny wywoławczej  </w:t>
      </w:r>
      <w:r w:rsidR="009101FA">
        <w:t>rzeczy przeznaczonej</w:t>
      </w:r>
      <w:r w:rsidR="007C601D">
        <w:t xml:space="preserve"> do sprzedaży.</w:t>
      </w:r>
    </w:p>
    <w:p w:rsidR="007C601D" w:rsidRDefault="00582C2F" w:rsidP="00A733AF">
      <w:pPr>
        <w:ind w:left="66"/>
      </w:pPr>
      <w:r>
        <w:t>§ 22</w:t>
      </w:r>
      <w:r w:rsidR="007C601D">
        <w:t>. Postąpienie nie może wynosić mniej niż jeden procent ceny wywoławczej. Zaoferowana cena przestaje wiązać licytanta, gdy inny licytant zaoferował cenę wyższą.</w:t>
      </w:r>
    </w:p>
    <w:p w:rsidR="007C601D" w:rsidRDefault="00582C2F" w:rsidP="007C601D">
      <w:r>
        <w:t>§ 23</w:t>
      </w:r>
      <w:r w:rsidR="007C601D">
        <w:t>. Po ustaleniu postąpień prowadzący aukcję, uprzedzając obecnych, po trzecim ogłoszeniu zamyka aukcję i udziela przybicia licytantowi, który zaoferował najwyższą cenę.</w:t>
      </w:r>
    </w:p>
    <w:p w:rsidR="007C601D" w:rsidRDefault="00582C2F" w:rsidP="007C601D">
      <w:r>
        <w:lastRenderedPageBreak/>
        <w:t>§ 24</w:t>
      </w:r>
      <w:r w:rsidR="007C601D">
        <w:t>. Z chwilą przybicia następuje zawarcie umowy sprzedaży przedmiotu aukcji.</w:t>
      </w:r>
    </w:p>
    <w:p w:rsidR="007C601D" w:rsidRDefault="00582C2F" w:rsidP="007C601D">
      <w:r>
        <w:t>§ 25</w:t>
      </w:r>
      <w:r w:rsidR="007C601D">
        <w:t>. 1. Nabywca jest zobowiązany zapłacić cenę nabycia w kasie lub na rachunek</w:t>
      </w:r>
      <w:r w:rsidR="00AA3216">
        <w:t xml:space="preserve"> dochodów budżetu</w:t>
      </w:r>
      <w:r w:rsidR="007C601D">
        <w:t xml:space="preserve"> powiatu niezwłocznie po udzieleniu mu przybicia bądź w terminie wyznaczonym przez prowadzącego aukcję, nie dłuższym niż 7 dni.</w:t>
      </w:r>
    </w:p>
    <w:p w:rsidR="00DF6791" w:rsidRDefault="00DF6791" w:rsidP="007C601D">
      <w:r>
        <w:t>2. Nabywca, który w terminach określonych w ust. 1 nie uiści ceny nabycia, traci prawo wynikające z przybicia.</w:t>
      </w:r>
    </w:p>
    <w:p w:rsidR="00DF6791" w:rsidRDefault="00582C2F" w:rsidP="007C601D">
      <w:r>
        <w:t>§ 26</w:t>
      </w:r>
      <w:r w:rsidR="00DF6791">
        <w:t>. Wydanie przedmiotu sprzedaży nabywcy następuje niezwłocznie po zapłaceniu ceny nabycia.</w:t>
      </w:r>
    </w:p>
    <w:p w:rsidR="00DF6791" w:rsidRDefault="00582C2F" w:rsidP="007C601D">
      <w:r>
        <w:t>§ 27</w:t>
      </w:r>
      <w:r w:rsidR="00DF6791">
        <w:t xml:space="preserve">. Starosta może sprzedawać </w:t>
      </w:r>
      <w:r w:rsidR="009101FA">
        <w:t>rzeczy</w:t>
      </w:r>
      <w:r w:rsidR="00DF6791">
        <w:t xml:space="preserve"> w trybie </w:t>
      </w:r>
      <w:proofErr w:type="spellStart"/>
      <w:r w:rsidR="00DF6791">
        <w:t>bezprzetargowym</w:t>
      </w:r>
      <w:proofErr w:type="spellEnd"/>
      <w:r w:rsidR="00DF6791">
        <w:t>, jeżeli:</w:t>
      </w:r>
    </w:p>
    <w:p w:rsidR="00DF6791" w:rsidRDefault="009101FA" w:rsidP="00DF6791">
      <w:pPr>
        <w:pStyle w:val="Akapitzlist"/>
        <w:numPr>
          <w:ilvl w:val="0"/>
          <w:numId w:val="10"/>
        </w:numPr>
      </w:pPr>
      <w:r>
        <w:t>rzeczy</w:t>
      </w:r>
      <w:r w:rsidR="00DF6791">
        <w:t xml:space="preserve"> te mają cechy sprzętu specjalistycznego, lub</w:t>
      </w:r>
    </w:p>
    <w:p w:rsidR="00DF6791" w:rsidRDefault="00DF6791" w:rsidP="00DF6791">
      <w:pPr>
        <w:pStyle w:val="Akapitzlist"/>
        <w:numPr>
          <w:ilvl w:val="0"/>
          <w:numId w:val="10"/>
        </w:numPr>
      </w:pPr>
      <w:r>
        <w:t>krąg nabywców jest ograniczony, lub</w:t>
      </w:r>
    </w:p>
    <w:p w:rsidR="00DF6791" w:rsidRDefault="00DF6791" w:rsidP="00DF6791">
      <w:pPr>
        <w:pStyle w:val="Akapitzlist"/>
        <w:numPr>
          <w:ilvl w:val="0"/>
          <w:numId w:val="10"/>
        </w:numPr>
      </w:pPr>
      <w:r>
        <w:t>składników tych nie udało się sprzedać w drodze przetargu lub aukcji po cenie wywoławczej.</w:t>
      </w:r>
    </w:p>
    <w:p w:rsidR="00DF6791" w:rsidRDefault="00582C2F" w:rsidP="00DF6791">
      <w:r>
        <w:t>§ 28</w:t>
      </w:r>
      <w:r w:rsidR="00DF6791">
        <w:t xml:space="preserve">. Jeżeli co najmniej dwóch nabywców będzie zainteresowanych zakupem tej samej rzeczy w trybie </w:t>
      </w:r>
      <w:proofErr w:type="spellStart"/>
      <w:r w:rsidR="00DF6791">
        <w:t>bezprzetargowym</w:t>
      </w:r>
      <w:proofErr w:type="spellEnd"/>
      <w:r w:rsidR="00DF6791">
        <w:t>, Starosta jest zobowiązany do przeprowadzenia aukcji między nimi.</w:t>
      </w:r>
    </w:p>
    <w:p w:rsidR="00DF6791" w:rsidRDefault="00582C2F" w:rsidP="00DF6791">
      <w:r>
        <w:t>§ 29</w:t>
      </w:r>
      <w:r w:rsidR="00DF6791">
        <w:t>. Środki uzyskane ze sprzedaży</w:t>
      </w:r>
      <w:r w:rsidR="009101FA">
        <w:t xml:space="preserve"> rzeczy </w:t>
      </w:r>
      <w:r w:rsidR="00DF6791">
        <w:t xml:space="preserve">należy przekazać na </w:t>
      </w:r>
      <w:r w:rsidR="00AA3216">
        <w:t xml:space="preserve">rachunek </w:t>
      </w:r>
      <w:r w:rsidR="00DF6791">
        <w:t>dochodów budżetu Powiatu.</w:t>
      </w:r>
    </w:p>
    <w:p w:rsidR="00DF6791" w:rsidRDefault="00DF6791" w:rsidP="00DF6791">
      <w:r>
        <w:t>NIE</w:t>
      </w:r>
      <w:r w:rsidR="00816B05">
        <w:t xml:space="preserve">ODPŁATNE ZBYCIE </w:t>
      </w:r>
      <w:r w:rsidR="009101FA">
        <w:t>RZECZY</w:t>
      </w:r>
    </w:p>
    <w:p w:rsidR="00DF6791" w:rsidRDefault="00582C2F" w:rsidP="00DF6791">
      <w:r>
        <w:t>§ 30</w:t>
      </w:r>
      <w:r w:rsidR="00DF6791">
        <w:t xml:space="preserve">. </w:t>
      </w:r>
      <w:r w:rsidR="00DA6AC8">
        <w:t xml:space="preserve">1. </w:t>
      </w:r>
      <w:r w:rsidR="00CF3D7E">
        <w:t xml:space="preserve">Nieodpłatne przekazanie rzeczy następuje </w:t>
      </w:r>
      <w:r w:rsidR="00950996">
        <w:t xml:space="preserve"> </w:t>
      </w:r>
      <w:r w:rsidR="00CF3D7E">
        <w:t xml:space="preserve">na czas oznaczony lub nieoznaczony. Rzeczy przekazuje się </w:t>
      </w:r>
      <w:r w:rsidR="00950996">
        <w:t>z przeznaczeniem na realizację zadań publicznych.</w:t>
      </w:r>
    </w:p>
    <w:p w:rsidR="00950996" w:rsidRDefault="00950996" w:rsidP="00DF6791">
      <w:r>
        <w:t>2. Przekazanie następuje za zgodą Starosty, na podstawie pisemnego wniosku zainteresowanego.</w:t>
      </w:r>
    </w:p>
    <w:p w:rsidR="00950996" w:rsidRDefault="00950996" w:rsidP="00DF6791">
      <w:r>
        <w:t>3. Wniosek, o którym mowa w ust. 2 powinien zawierać:</w:t>
      </w:r>
    </w:p>
    <w:p w:rsidR="00950996" w:rsidRDefault="00950996" w:rsidP="00950996">
      <w:pPr>
        <w:pStyle w:val="Akapitzlist"/>
        <w:numPr>
          <w:ilvl w:val="0"/>
          <w:numId w:val="11"/>
        </w:numPr>
      </w:pPr>
      <w:r>
        <w:t xml:space="preserve">nazwę i adres podmiotu występującego o nieodpłatne przekazanie </w:t>
      </w:r>
      <w:r w:rsidR="009101FA">
        <w:t>rzeczy</w:t>
      </w:r>
      <w:r>
        <w:t>;</w:t>
      </w:r>
    </w:p>
    <w:p w:rsidR="00950996" w:rsidRDefault="00950996" w:rsidP="00950996">
      <w:pPr>
        <w:pStyle w:val="Akapitzlist"/>
        <w:numPr>
          <w:ilvl w:val="0"/>
          <w:numId w:val="11"/>
        </w:numPr>
      </w:pPr>
      <w:r>
        <w:t xml:space="preserve">wskazanie </w:t>
      </w:r>
      <w:r w:rsidR="009101FA">
        <w:t>rzeczy</w:t>
      </w:r>
      <w:r>
        <w:t>, o który występuje podmiot;</w:t>
      </w:r>
    </w:p>
    <w:p w:rsidR="00950996" w:rsidRDefault="00950996" w:rsidP="00950996">
      <w:pPr>
        <w:pStyle w:val="Akapitzlist"/>
        <w:numPr>
          <w:ilvl w:val="0"/>
          <w:numId w:val="11"/>
        </w:numPr>
      </w:pPr>
      <w:r>
        <w:t xml:space="preserve">uzasadnienie potrzeb i sposobu wykorzystania </w:t>
      </w:r>
      <w:r w:rsidR="009101FA">
        <w:t>rzeczy</w:t>
      </w:r>
      <w:r>
        <w:t>;</w:t>
      </w:r>
    </w:p>
    <w:p w:rsidR="00950996" w:rsidRDefault="00950996" w:rsidP="00950996">
      <w:r>
        <w:t>4. Przekazania dokonuje się na podstawie protokołu zdawczo-odbiorczego zawierającego:</w:t>
      </w:r>
    </w:p>
    <w:p w:rsidR="00950996" w:rsidRDefault="00950996" w:rsidP="00950996">
      <w:pPr>
        <w:pStyle w:val="Akapitzlist"/>
        <w:numPr>
          <w:ilvl w:val="0"/>
          <w:numId w:val="12"/>
        </w:numPr>
      </w:pPr>
      <w:r>
        <w:t>oznaczenie stron;</w:t>
      </w:r>
    </w:p>
    <w:p w:rsidR="00950996" w:rsidRDefault="008C65C2" w:rsidP="00950996">
      <w:pPr>
        <w:pStyle w:val="Akapitzlist"/>
        <w:numPr>
          <w:ilvl w:val="0"/>
          <w:numId w:val="12"/>
        </w:numPr>
      </w:pPr>
      <w:r>
        <w:t xml:space="preserve">nazwę, rodzaj i cechy identyfikujące </w:t>
      </w:r>
      <w:r w:rsidR="009101FA">
        <w:t>rzeczy</w:t>
      </w:r>
      <w:r>
        <w:t>;</w:t>
      </w:r>
    </w:p>
    <w:p w:rsidR="008C65C2" w:rsidRDefault="008C65C2" w:rsidP="00950996">
      <w:pPr>
        <w:pStyle w:val="Akapitzlist"/>
        <w:numPr>
          <w:ilvl w:val="0"/>
          <w:numId w:val="12"/>
        </w:numPr>
      </w:pPr>
      <w:r>
        <w:t>ilo</w:t>
      </w:r>
      <w:r w:rsidR="009101FA">
        <w:t>ść i wartość każdej rzeczy</w:t>
      </w:r>
      <w:r>
        <w:t>;</w:t>
      </w:r>
    </w:p>
    <w:p w:rsidR="008C65C2" w:rsidRDefault="008C65C2" w:rsidP="00950996">
      <w:pPr>
        <w:pStyle w:val="Akapitzlist"/>
        <w:numPr>
          <w:ilvl w:val="0"/>
          <w:numId w:val="12"/>
        </w:numPr>
      </w:pPr>
      <w:r>
        <w:t xml:space="preserve">niezbędne informacje o stanie techniczno-użytkowym </w:t>
      </w:r>
      <w:r w:rsidR="009101FA">
        <w:t>rzeczy</w:t>
      </w:r>
      <w:r>
        <w:t>;</w:t>
      </w:r>
    </w:p>
    <w:p w:rsidR="008C65C2" w:rsidRDefault="008C65C2" w:rsidP="00950996">
      <w:pPr>
        <w:pStyle w:val="Akapitzlist"/>
        <w:numPr>
          <w:ilvl w:val="0"/>
          <w:numId w:val="12"/>
        </w:numPr>
      </w:pPr>
      <w:r>
        <w:t xml:space="preserve">okres, w którym </w:t>
      </w:r>
      <w:r w:rsidR="009101FA">
        <w:t>rzecz</w:t>
      </w:r>
      <w:r>
        <w:t xml:space="preserve"> będzie używan</w:t>
      </w:r>
      <w:r w:rsidR="009101FA">
        <w:t>a</w:t>
      </w:r>
      <w:r>
        <w:t xml:space="preserve"> przez podmiot korzystający;</w:t>
      </w:r>
    </w:p>
    <w:p w:rsidR="008C65C2" w:rsidRDefault="008C65C2" w:rsidP="00950996">
      <w:pPr>
        <w:pStyle w:val="Akapitzlist"/>
        <w:numPr>
          <w:ilvl w:val="0"/>
          <w:numId w:val="12"/>
        </w:numPr>
      </w:pPr>
      <w:r>
        <w:t xml:space="preserve">miejsce i termin odbioru </w:t>
      </w:r>
      <w:r w:rsidR="00272A35">
        <w:t>rzeczy</w:t>
      </w:r>
      <w:r>
        <w:t>;</w:t>
      </w:r>
    </w:p>
    <w:p w:rsidR="008C65C2" w:rsidRDefault="008C65C2" w:rsidP="00950996">
      <w:pPr>
        <w:pStyle w:val="Akapitzlist"/>
        <w:numPr>
          <w:ilvl w:val="0"/>
          <w:numId w:val="12"/>
        </w:numPr>
      </w:pPr>
      <w:r>
        <w:t>podpisy z podaniem imienia i nazwiska oraz stanowiska osób upoważnionych do podpisania protokołu.</w:t>
      </w:r>
    </w:p>
    <w:p w:rsidR="008C65C2" w:rsidRDefault="006E1F48" w:rsidP="008C65C2">
      <w:r>
        <w:t>§</w:t>
      </w:r>
      <w:r w:rsidR="00582C2F">
        <w:t xml:space="preserve"> 31</w:t>
      </w:r>
      <w:r w:rsidR="008C65C2">
        <w:t xml:space="preserve">. Odbiór </w:t>
      </w:r>
      <w:r w:rsidR="00272A35">
        <w:t>rzeczy</w:t>
      </w:r>
      <w:r w:rsidR="008C65C2">
        <w:t xml:space="preserve"> następuje na koszt podmiotu, któ</w:t>
      </w:r>
      <w:r w:rsidR="00272A35">
        <w:t xml:space="preserve">remu </w:t>
      </w:r>
      <w:r w:rsidR="00CF3D7E">
        <w:t>następuje przekazanie</w:t>
      </w:r>
      <w:r w:rsidR="008C65C2">
        <w:t>.</w:t>
      </w:r>
    </w:p>
    <w:p w:rsidR="008C65C2" w:rsidRDefault="00582C2F" w:rsidP="008C65C2">
      <w:r>
        <w:t>§ 32</w:t>
      </w:r>
      <w:r w:rsidR="008C65C2">
        <w:t xml:space="preserve">. Podmiot, który przyjął </w:t>
      </w:r>
      <w:r w:rsidR="00272A35">
        <w:t>rzecz</w:t>
      </w:r>
      <w:r w:rsidR="008C65C2">
        <w:t>, ponosi koszty jego utrzymania  oraz prowadzi jego ewidencję.</w:t>
      </w:r>
    </w:p>
    <w:p w:rsidR="008C65C2" w:rsidRDefault="00D56113" w:rsidP="008C65C2">
      <w:r>
        <w:t>§</w:t>
      </w:r>
      <w:r w:rsidR="00582C2F">
        <w:t xml:space="preserve"> 33</w:t>
      </w:r>
      <w:r w:rsidR="008C65C2">
        <w:t xml:space="preserve">. 1. </w:t>
      </w:r>
      <w:r w:rsidR="00CF3D7E">
        <w:t>Darowizna</w:t>
      </w:r>
      <w:r w:rsidR="008C65C2">
        <w:t xml:space="preserve"> </w:t>
      </w:r>
      <w:r w:rsidR="00272A35">
        <w:t>rzeczy</w:t>
      </w:r>
      <w:r w:rsidR="008C65C2">
        <w:t xml:space="preserve"> </w:t>
      </w:r>
      <w:r w:rsidR="00CF3D7E">
        <w:t xml:space="preserve">może zostać dokonana na rzecz </w:t>
      </w:r>
      <w:r w:rsidR="008C65C2">
        <w:t>j</w:t>
      </w:r>
      <w:r w:rsidR="00CF3D7E">
        <w:t>ednostek organizacyjnych Powiatu, jednostek samorządu terytorialnego, innych podmiotów realizujących</w:t>
      </w:r>
      <w:r w:rsidR="008C65C2">
        <w:t xml:space="preserve"> </w:t>
      </w:r>
      <w:r w:rsidR="00CF3D7E">
        <w:t>zadania publiczne oraz fundacji  lub stowarzyszeń</w:t>
      </w:r>
      <w:r w:rsidR="008C65C2">
        <w:t>, które prowadzą działalność charytatywną, opiekuńczą, kulturalną, leczniczą, oświatową, wychowawczą, sportową lub turystyczną, z przeznaczeniem na realizację celów statutowych.</w:t>
      </w:r>
    </w:p>
    <w:p w:rsidR="008C65C2" w:rsidRDefault="008C65C2" w:rsidP="008C65C2">
      <w:r>
        <w:t>2. Do darowizny,</w:t>
      </w:r>
      <w:r w:rsidR="00711064">
        <w:t xml:space="preserve"> zapisy </w:t>
      </w:r>
      <w:r w:rsidR="00D56113">
        <w:t xml:space="preserve"> § 3</w:t>
      </w:r>
      <w:r w:rsidR="00582C2F">
        <w:t>0</w:t>
      </w:r>
      <w:r w:rsidR="00816B05">
        <w:t>-3</w:t>
      </w:r>
      <w:r w:rsidR="00582C2F">
        <w:t>2</w:t>
      </w:r>
      <w:r>
        <w:t xml:space="preserve"> stosuje się odpowiednio.</w:t>
      </w:r>
    </w:p>
    <w:p w:rsidR="001F14DE" w:rsidRPr="001F14DE" w:rsidRDefault="001F14DE" w:rsidP="008C65C2">
      <w:r w:rsidRPr="001F14DE">
        <w:lastRenderedPageBreak/>
        <w:t>LIKWIDACJA  ZBĘDNYCH LUB ZUŻYTYCH SKŁADNIKÓW MAJĄTKU RUCHOMEGO</w:t>
      </w:r>
    </w:p>
    <w:p w:rsidR="001F14DE" w:rsidRDefault="00582C2F" w:rsidP="008C65C2">
      <w:r>
        <w:t>§ 34</w:t>
      </w:r>
      <w:r w:rsidR="001F14DE">
        <w:t xml:space="preserve">.1. Likwidacji </w:t>
      </w:r>
      <w:r w:rsidR="00272A35">
        <w:t>rzeczy</w:t>
      </w:r>
      <w:r w:rsidR="001F14DE">
        <w:t xml:space="preserve"> dokonuje się w trybie sprzedaży  na surowce wtórne albo ich zniszczenie, w przypadku gdy sprzedaż na surowce wtórne nie jest możliwa.</w:t>
      </w:r>
    </w:p>
    <w:p w:rsidR="001F14DE" w:rsidRDefault="00582C2F" w:rsidP="008C65C2">
      <w:r>
        <w:t>2</w:t>
      </w:r>
      <w:r w:rsidR="001F14DE">
        <w:t xml:space="preserve">. Zużyte </w:t>
      </w:r>
      <w:r w:rsidR="00272A35">
        <w:t>rzeczy</w:t>
      </w:r>
      <w:r w:rsidR="001F14DE">
        <w:t>, stanowiące odpady zgodnie z ustawą z dnia 14 gru</w:t>
      </w:r>
      <w:r w:rsidR="00AB18F0">
        <w:t>dnia 2012 roku o odpadach</w:t>
      </w:r>
      <w:r w:rsidR="001F14DE">
        <w:t xml:space="preserve"> są unieszkodliwiane</w:t>
      </w:r>
      <w:r w:rsidR="00272A35">
        <w:t>.</w:t>
      </w:r>
    </w:p>
    <w:p w:rsidR="001F14DE" w:rsidRDefault="00884033" w:rsidP="008C65C2">
      <w:r>
        <w:t>3</w:t>
      </w:r>
      <w:r w:rsidR="001F14DE">
        <w:t>. Unieszkodliwienia odpadów dokonują przedsiębiorcy prowadzący działalność w zakresie odzysku lub unieszkodliwiania odpadów, posiadający wymagane prawem zezwolenia</w:t>
      </w:r>
      <w:r w:rsidR="00D0500C">
        <w:t>.</w:t>
      </w:r>
    </w:p>
    <w:p w:rsidR="00D0500C" w:rsidRDefault="00582C2F" w:rsidP="008C65C2">
      <w:r>
        <w:t>§ 35</w:t>
      </w:r>
      <w:r w:rsidR="00D0500C">
        <w:t>. 1. Z przeprowadzonej likwidacji komisja sporządza protokół, w którym w szczególności wskazuje:</w:t>
      </w:r>
    </w:p>
    <w:p w:rsidR="00D0500C" w:rsidRDefault="00272A35" w:rsidP="00D0500C">
      <w:pPr>
        <w:pStyle w:val="Akapitzlist"/>
        <w:numPr>
          <w:ilvl w:val="0"/>
          <w:numId w:val="13"/>
        </w:numPr>
      </w:pPr>
      <w:r>
        <w:t xml:space="preserve">rzeczy </w:t>
      </w:r>
      <w:r w:rsidR="00D0500C">
        <w:t>poddane likwidacji, wraz ze wskazaniem ich cech identyfikacyjnych oraz wartością;</w:t>
      </w:r>
    </w:p>
    <w:p w:rsidR="00D0500C" w:rsidRDefault="00D0500C" w:rsidP="00D0500C">
      <w:pPr>
        <w:pStyle w:val="Akapitzlist"/>
        <w:numPr>
          <w:ilvl w:val="0"/>
          <w:numId w:val="13"/>
        </w:numPr>
      </w:pPr>
      <w:r>
        <w:t>sposób likwidacji;</w:t>
      </w:r>
    </w:p>
    <w:p w:rsidR="00D0500C" w:rsidRDefault="00D0500C" w:rsidP="00D0500C">
      <w:pPr>
        <w:pStyle w:val="Akapitzlist"/>
        <w:numPr>
          <w:ilvl w:val="0"/>
          <w:numId w:val="13"/>
        </w:numPr>
      </w:pPr>
      <w:r>
        <w:t>przyczynę likwidacji;</w:t>
      </w:r>
    </w:p>
    <w:p w:rsidR="00D0500C" w:rsidRDefault="00D0500C" w:rsidP="00D0500C">
      <w:pPr>
        <w:pStyle w:val="Akapitzlist"/>
        <w:numPr>
          <w:ilvl w:val="0"/>
          <w:numId w:val="13"/>
        </w:numPr>
      </w:pPr>
      <w:r>
        <w:t>imiona i nazwiska oraz podpisy członków komisji.</w:t>
      </w:r>
    </w:p>
    <w:p w:rsidR="00D0500C" w:rsidRDefault="00D0500C" w:rsidP="00D0500C">
      <w:r>
        <w:t xml:space="preserve">2. Protokół podlega zatwierdzeniu przez Starostę. </w:t>
      </w:r>
    </w:p>
    <w:p w:rsidR="00275B8A" w:rsidRPr="00275B8A" w:rsidRDefault="00275B8A" w:rsidP="00D0500C"/>
    <w:p w:rsidR="00D0500C" w:rsidRPr="007C601D" w:rsidRDefault="00D0500C" w:rsidP="008C65C2">
      <w:r>
        <w:t xml:space="preserve"> </w:t>
      </w:r>
    </w:p>
    <w:p w:rsidR="007C601D" w:rsidRPr="007C601D" w:rsidRDefault="007C601D" w:rsidP="00A733AF">
      <w:pPr>
        <w:ind w:left="66"/>
      </w:pPr>
    </w:p>
    <w:p w:rsidR="00FB461E" w:rsidRPr="0059575A" w:rsidRDefault="00FB461E" w:rsidP="0059575A">
      <w:pPr>
        <w:ind w:left="66"/>
      </w:pPr>
    </w:p>
    <w:p w:rsidR="002D5B21" w:rsidRDefault="002D5B21" w:rsidP="00622091"/>
    <w:p w:rsidR="002D5B21" w:rsidRDefault="002D5B21" w:rsidP="00622091"/>
    <w:p w:rsidR="00AE1FB6" w:rsidRDefault="00AE1FB6"/>
    <w:p w:rsidR="00FE28E3" w:rsidRDefault="00FE28E3"/>
    <w:sectPr w:rsidR="00FE28E3" w:rsidSect="00A870E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720" w:rsidRDefault="00854720" w:rsidP="00F3073E">
      <w:pPr>
        <w:spacing w:after="0" w:line="240" w:lineRule="auto"/>
      </w:pPr>
      <w:r>
        <w:separator/>
      </w:r>
    </w:p>
  </w:endnote>
  <w:endnote w:type="continuationSeparator" w:id="0">
    <w:p w:rsidR="00854720" w:rsidRDefault="00854720" w:rsidP="00F3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720" w:rsidRDefault="00854720" w:rsidP="00F3073E">
      <w:pPr>
        <w:spacing w:after="0" w:line="240" w:lineRule="auto"/>
      </w:pPr>
      <w:r>
        <w:separator/>
      </w:r>
    </w:p>
  </w:footnote>
  <w:footnote w:type="continuationSeparator" w:id="0">
    <w:p w:rsidR="00854720" w:rsidRDefault="00854720" w:rsidP="00F3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A63"/>
    <w:multiLevelType w:val="hybridMultilevel"/>
    <w:tmpl w:val="F8F6A12A"/>
    <w:lvl w:ilvl="0" w:tplc="409C040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9226FAF"/>
    <w:multiLevelType w:val="hybridMultilevel"/>
    <w:tmpl w:val="CE4CE2C4"/>
    <w:lvl w:ilvl="0" w:tplc="8C32D00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22E31B05"/>
    <w:multiLevelType w:val="hybridMultilevel"/>
    <w:tmpl w:val="7AA8F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D0CB7"/>
    <w:multiLevelType w:val="hybridMultilevel"/>
    <w:tmpl w:val="DF3CA68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73B18A1"/>
    <w:multiLevelType w:val="hybridMultilevel"/>
    <w:tmpl w:val="4C7CC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46BC0"/>
    <w:multiLevelType w:val="hybridMultilevel"/>
    <w:tmpl w:val="D6E00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93EB0"/>
    <w:multiLevelType w:val="hybridMultilevel"/>
    <w:tmpl w:val="3A82D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C3E26"/>
    <w:multiLevelType w:val="hybridMultilevel"/>
    <w:tmpl w:val="0F301E0C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8EA0A45"/>
    <w:multiLevelType w:val="hybridMultilevel"/>
    <w:tmpl w:val="359C0B2E"/>
    <w:lvl w:ilvl="0" w:tplc="70A4AE2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797D1097"/>
    <w:multiLevelType w:val="hybridMultilevel"/>
    <w:tmpl w:val="5A025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E74C8"/>
    <w:multiLevelType w:val="hybridMultilevel"/>
    <w:tmpl w:val="F9061DA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7D090951"/>
    <w:multiLevelType w:val="hybridMultilevel"/>
    <w:tmpl w:val="DBB2C426"/>
    <w:lvl w:ilvl="0" w:tplc="D4787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BE6"/>
    <w:rsid w:val="00003C46"/>
    <w:rsid w:val="00005212"/>
    <w:rsid w:val="00037E63"/>
    <w:rsid w:val="00040D3A"/>
    <w:rsid w:val="00080FD8"/>
    <w:rsid w:val="001154C2"/>
    <w:rsid w:val="00121C06"/>
    <w:rsid w:val="001743C9"/>
    <w:rsid w:val="00177B21"/>
    <w:rsid w:val="001A796F"/>
    <w:rsid w:val="001E066C"/>
    <w:rsid w:val="001F14DE"/>
    <w:rsid w:val="00272A35"/>
    <w:rsid w:val="00275B8A"/>
    <w:rsid w:val="002A0C81"/>
    <w:rsid w:val="002B5DB4"/>
    <w:rsid w:val="002C267B"/>
    <w:rsid w:val="002D5B21"/>
    <w:rsid w:val="002E0EEE"/>
    <w:rsid w:val="002F23AD"/>
    <w:rsid w:val="00353F1A"/>
    <w:rsid w:val="003A1E8C"/>
    <w:rsid w:val="003F6A3B"/>
    <w:rsid w:val="00407268"/>
    <w:rsid w:val="00453AC2"/>
    <w:rsid w:val="0048438D"/>
    <w:rsid w:val="00486F95"/>
    <w:rsid w:val="004916A9"/>
    <w:rsid w:val="004A146F"/>
    <w:rsid w:val="004A2A9C"/>
    <w:rsid w:val="004C3655"/>
    <w:rsid w:val="004D6D84"/>
    <w:rsid w:val="00537601"/>
    <w:rsid w:val="00547192"/>
    <w:rsid w:val="00550C9A"/>
    <w:rsid w:val="00582C2F"/>
    <w:rsid w:val="00592BE6"/>
    <w:rsid w:val="0059575A"/>
    <w:rsid w:val="005D4964"/>
    <w:rsid w:val="005E5961"/>
    <w:rsid w:val="005F4F95"/>
    <w:rsid w:val="00611C1E"/>
    <w:rsid w:val="00622091"/>
    <w:rsid w:val="006603A2"/>
    <w:rsid w:val="00691EC1"/>
    <w:rsid w:val="006E1F48"/>
    <w:rsid w:val="006E2441"/>
    <w:rsid w:val="00711064"/>
    <w:rsid w:val="00724EB8"/>
    <w:rsid w:val="0075123E"/>
    <w:rsid w:val="0075772F"/>
    <w:rsid w:val="00770C1A"/>
    <w:rsid w:val="007A1AF0"/>
    <w:rsid w:val="007C601D"/>
    <w:rsid w:val="00816B05"/>
    <w:rsid w:val="00835563"/>
    <w:rsid w:val="00854720"/>
    <w:rsid w:val="00884033"/>
    <w:rsid w:val="008C65C2"/>
    <w:rsid w:val="008E0CAB"/>
    <w:rsid w:val="009101FA"/>
    <w:rsid w:val="0092074E"/>
    <w:rsid w:val="00950996"/>
    <w:rsid w:val="00965A7E"/>
    <w:rsid w:val="0099316F"/>
    <w:rsid w:val="009A2E0B"/>
    <w:rsid w:val="009E27A2"/>
    <w:rsid w:val="00A3528E"/>
    <w:rsid w:val="00A365EB"/>
    <w:rsid w:val="00A50E54"/>
    <w:rsid w:val="00A63ABC"/>
    <w:rsid w:val="00A733AF"/>
    <w:rsid w:val="00A870E5"/>
    <w:rsid w:val="00AA3216"/>
    <w:rsid w:val="00AB18F0"/>
    <w:rsid w:val="00AC4D31"/>
    <w:rsid w:val="00AD0E0B"/>
    <w:rsid w:val="00AE1FB6"/>
    <w:rsid w:val="00AE3DEE"/>
    <w:rsid w:val="00AF708D"/>
    <w:rsid w:val="00B0048E"/>
    <w:rsid w:val="00B149DC"/>
    <w:rsid w:val="00B53010"/>
    <w:rsid w:val="00BB0B86"/>
    <w:rsid w:val="00BD0753"/>
    <w:rsid w:val="00BD585A"/>
    <w:rsid w:val="00BD6655"/>
    <w:rsid w:val="00C339CB"/>
    <w:rsid w:val="00C36214"/>
    <w:rsid w:val="00C660B1"/>
    <w:rsid w:val="00CF3D7E"/>
    <w:rsid w:val="00D0142C"/>
    <w:rsid w:val="00D0500C"/>
    <w:rsid w:val="00D37E59"/>
    <w:rsid w:val="00D51ADF"/>
    <w:rsid w:val="00D523A8"/>
    <w:rsid w:val="00D52F3F"/>
    <w:rsid w:val="00D56113"/>
    <w:rsid w:val="00D56725"/>
    <w:rsid w:val="00D7591D"/>
    <w:rsid w:val="00D87D72"/>
    <w:rsid w:val="00DA6AC8"/>
    <w:rsid w:val="00DD2ACB"/>
    <w:rsid w:val="00DF6791"/>
    <w:rsid w:val="00E5567B"/>
    <w:rsid w:val="00F148EA"/>
    <w:rsid w:val="00F25E15"/>
    <w:rsid w:val="00F3073E"/>
    <w:rsid w:val="00FB461E"/>
    <w:rsid w:val="00FC46A6"/>
    <w:rsid w:val="00FE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07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07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07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931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F621C-F8B6-48EE-88C7-A76421E8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1</Pages>
  <Words>1700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Węgłowska</dc:creator>
  <cp:keywords/>
  <dc:description/>
  <cp:lastModifiedBy>srekawiecka</cp:lastModifiedBy>
  <cp:revision>48</cp:revision>
  <cp:lastPrinted>2017-02-07T08:52:00Z</cp:lastPrinted>
  <dcterms:created xsi:type="dcterms:W3CDTF">2016-06-14T10:13:00Z</dcterms:created>
  <dcterms:modified xsi:type="dcterms:W3CDTF">2017-02-08T10:25:00Z</dcterms:modified>
</cp:coreProperties>
</file>